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60" w:after="80" w:line="240" w:lineRule="auto"/>
        <w:jc w:val="center"/>
      </w:pPr>
      <w:r>
        <w:rPr>
          <w:rFonts w:ascii="Cambria" w:hAnsi="Cambria" w:eastAsia="Cambria"/>
          <w:b/>
          <w:i w:val="0"/>
          <w:color w:val="4472C4"/>
          <w:sz w:val="36"/>
        </w:rPr>
        <w:t>BÁO CÁO KẾT QUẢ ĐÀO TẠO</w:t>
      </w:r>
    </w:p>
    <w:p>
      <w:pPr>
        <w:keepNext w:val="0"/>
        <w:spacing w:before="0" w:after="80" w:line="259" w:lineRule="auto"/>
        <w:jc w:val="center"/>
      </w:pPr>
      <w:r>
        <w:rPr>
          <w:rFonts w:ascii="Cambria" w:hAnsi="Cambria" w:eastAsia="Cambria"/>
          <w:b/>
          <w:i w:val="0"/>
          <w:color w:val="333333"/>
          <w:sz w:val="22"/>
        </w:rPr>
        <w:t>Chương trình: Năng lực quản lý tuyến đầu &amp; Lean Problem Solving</w:t>
      </w:r>
    </w:p>
    <w:p>
      <w:pPr>
        <w:keepNext w:val="0"/>
        <w:spacing w:before="0" w:after="160" w:line="259" w:lineRule="auto"/>
        <w:jc w:val="center"/>
      </w:pPr>
      <w:r>
        <w:rPr>
          <w:rFonts w:ascii="Cambria" w:hAnsi="Cambria" w:eastAsia="Cambria"/>
          <w:b w:val="0"/>
          <w:i/>
          <w:color w:val="666666"/>
          <w:sz w:val="19"/>
        </w:rPr>
        <w:t>Kỳ báo cáo: 09/03/2026 – 30/07/2026 | Báo cáo số: RPT-LD-06-2026</w:t>
      </w:r>
    </w:p>
    <w:tbl>
      <w:tblPr>
        <w:tblW w:type="auto" w:w="0"/>
        <w:jc w:val="center"/>
        <w:tblLayout w:type="autofit"/>
        <w:tblLook w:firstColumn="1" w:firstRow="1" w:lastColumn="0" w:lastRow="0" w:noHBand="0" w:noVBand="1" w:val="04A0"/>
      </w:tblPr>
      <w:tblGrid>
        <w:gridCol w:w="10482"/>
      </w:tblGrid>
      <w:tr>
        <w:tc>
          <w:tcPr>
            <w:tcW w:type="dxa" w:w="10482"/>
            <w:shd w:fill="4472C4"/>
          </w:tcPr>
          <w:p>
            <w:r>
              <w:t xml:space="preserve"> </w:t>
            </w:r>
          </w:p>
        </w:tc>
      </w:tr>
    </w:tbl>
    <w:tbl>
      <w:tblPr>
        <w:tblW w:type="auto" w:w="0"/>
        <w:jc w:val="center"/>
        <w:tblLayout w:type="fixed"/>
        <w:tblLook w:firstColumn="1" w:firstRow="1" w:lastColumn="0" w:lastRow="0" w:noHBand="0" w:noVBand="1" w:val="04A0"/>
      </w:tblPr>
      <w:tblGrid>
        <w:gridCol w:w="1814"/>
        <w:gridCol w:w="8220"/>
      </w:tblGrid>
      <w:tr>
        <w:tc>
          <w:tcPr>
            <w:tcW w:type="dxa" w:w="5241"/>
            <w:shd w:fill="4472C4"/>
            <w:tcMar>
              <w:top w:w="100" w:type="dxa"/>
              <w:left w:w="110" w:type="dxa"/>
              <w:bottom w:w="100" w:type="dxa"/>
              <w:right w:w="110" w:type="dxa"/>
            </w:tcMar>
            <w:vAlign w:val="center"/>
          </w:tcPr>
          <w:p>
            <w:pPr>
              <w:jc w:val="center"/>
            </w:pPr>
            <w:r>
              <w:rPr>
                <w:rFonts w:ascii="Cambria" w:hAnsi="Cambria" w:eastAsia="Cambria"/>
                <w:b/>
                <w:i w:val="0"/>
                <w:color w:val="FFFFFF"/>
                <w:sz w:val="20"/>
              </w:rPr>
              <w:t>MỤC ĐÍCH</w:t>
              <w:br/>
              <w:t>SỬ DỤNG</w:t>
            </w:r>
          </w:p>
        </w:tc>
        <w:tc>
          <w:tcPr>
            <w:tcW w:type="dxa" w:w="5241"/>
            <w:shd w:fill="EEF4F8"/>
            <w:tcMar>
              <w:top w:w="100" w:type="dxa"/>
              <w:left w:w="110" w:type="dxa"/>
              <w:bottom w:w="100" w:type="dxa"/>
              <w:right w:w="110" w:type="dxa"/>
            </w:tcMar>
            <w:vAlign w:val="center"/>
          </w:tcPr>
          <w:p>
            <w:pPr>
              <w:keepNext w:val="0"/>
              <w:spacing w:before="0" w:after="0" w:line="259" w:lineRule="auto"/>
            </w:pPr>
            <w:r>
              <w:rPr>
                <w:rFonts w:ascii="Cambria" w:hAnsi="Cambria" w:eastAsia="Cambria"/>
                <w:b w:val="0"/>
                <w:i w:val="0"/>
                <w:color w:val="333333"/>
                <w:sz w:val="20"/>
              </w:rPr>
              <w:t>Tổng hợp mức độ thực hiện, chuyên cần, kết quả học tập, phản hồi học viên, chi phí, dự án ứng dụng và các khuyến nghị sau khi hoàn tất chương trình.</w:t>
            </w:r>
          </w:p>
        </w:tc>
      </w:tr>
    </w:tbl>
    <w:p>
      <w:pPr>
        <w:pStyle w:val="Heading1"/>
      </w:pPr>
      <w:r>
        <w:t>1. Tóm tắt điều hành</w:t>
      </w:r>
    </w:p>
    <w:tbl>
      <w:tblPr>
        <w:tblW w:type="auto" w:w="0"/>
        <w:jc w:val="center"/>
        <w:tblLayout w:type="fixed"/>
        <w:tblLook w:firstColumn="1" w:firstRow="1" w:lastColumn="0" w:lastRow="0" w:noHBand="0" w:noVBand="1" w:val="04A0"/>
      </w:tblPr>
      <w:tblGrid>
        <w:gridCol w:w="3494"/>
        <w:gridCol w:w="3494"/>
        <w:gridCol w:w="3494"/>
      </w:tblGrid>
      <w:tr>
        <w:tc>
          <w:tcPr>
            <w:tcW w:type="dxa" w:w="3494"/>
            <w:tcMar>
              <w:top w:w="100" w:type="dxa"/>
              <w:left w:w="80" w:type="dxa"/>
              <w:bottom w:w="100" w:type="dxa"/>
              <w:right w:w="80" w:type="dxa"/>
            </w:tcMar>
            <w:vAlign w:val="center"/>
            <w:shd w:fill="4472C4"/>
          </w:tcPr>
          <w:p>
            <w:pPr>
              <w:keepNext w:val="0"/>
              <w:spacing w:before="0" w:after="0" w:line="240" w:lineRule="auto"/>
              <w:jc w:val="center"/>
            </w:pPr>
            <w:r>
              <w:rPr>
                <w:rFonts w:ascii="Cambria" w:hAnsi="Cambria" w:eastAsia="Cambria"/>
                <w:b/>
                <w:i w:val="0"/>
                <w:color w:val="FFFFFF"/>
                <w:sz w:val="30"/>
              </w:rPr>
              <w:t>72</w:t>
              <w:br/>
            </w:r>
            <w:r>
              <w:rPr>
                <w:rFonts w:ascii="Cambria" w:hAnsi="Cambria" w:eastAsia="Cambria"/>
                <w:b w:val="0"/>
                <w:i w:val="0"/>
                <w:color w:val="FFFFFF"/>
                <w:sz w:val="17"/>
              </w:rPr>
              <w:t>Đăng ký</w:t>
            </w:r>
          </w:p>
        </w:tc>
        <w:tc>
          <w:tcPr>
            <w:tcW w:type="dxa" w:w="3494"/>
            <w:tcMar>
              <w:top w:w="100" w:type="dxa"/>
              <w:left w:w="80" w:type="dxa"/>
              <w:bottom w:w="100" w:type="dxa"/>
              <w:right w:w="80" w:type="dxa"/>
            </w:tcMar>
            <w:vAlign w:val="center"/>
            <w:shd w:fill="70AD47"/>
          </w:tcPr>
          <w:p>
            <w:pPr>
              <w:keepNext w:val="0"/>
              <w:spacing w:before="0" w:after="0" w:line="240" w:lineRule="auto"/>
              <w:jc w:val="center"/>
            </w:pPr>
            <w:r>
              <w:rPr>
                <w:rFonts w:ascii="Cambria" w:hAnsi="Cambria" w:eastAsia="Cambria"/>
                <w:b/>
                <w:i w:val="0"/>
                <w:color w:val="FFFFFF"/>
                <w:sz w:val="30"/>
              </w:rPr>
              <w:t>70 (97,2%)</w:t>
              <w:br/>
            </w:r>
            <w:r>
              <w:rPr>
                <w:rFonts w:ascii="Cambria" w:hAnsi="Cambria" w:eastAsia="Cambria"/>
                <w:b w:val="0"/>
                <w:i w:val="0"/>
                <w:color w:val="FFFFFF"/>
                <w:sz w:val="17"/>
              </w:rPr>
              <w:t>Hoàn thành</w:t>
            </w:r>
          </w:p>
        </w:tc>
        <w:tc>
          <w:tcPr>
            <w:tcW w:type="dxa" w:w="3494"/>
            <w:tcMar>
              <w:top w:w="100" w:type="dxa"/>
              <w:left w:w="80" w:type="dxa"/>
              <w:bottom w:w="100" w:type="dxa"/>
              <w:right w:w="80" w:type="dxa"/>
            </w:tcMar>
            <w:vAlign w:val="center"/>
            <w:shd w:fill="5B9BD5"/>
          </w:tcPr>
          <w:p>
            <w:pPr>
              <w:keepNext w:val="0"/>
              <w:spacing w:before="0" w:after="0" w:line="240" w:lineRule="auto"/>
              <w:jc w:val="center"/>
            </w:pPr>
            <w:r>
              <w:rPr>
                <w:rFonts w:ascii="Cambria" w:hAnsi="Cambria" w:eastAsia="Cambria"/>
                <w:b/>
                <w:i w:val="0"/>
                <w:color w:val="FFFFFF"/>
                <w:sz w:val="30"/>
              </w:rPr>
              <w:t>98,1%</w:t>
              <w:br/>
            </w:r>
            <w:r>
              <w:rPr>
                <w:rFonts w:ascii="Cambria" w:hAnsi="Cambria" w:eastAsia="Cambria"/>
                <w:b w:val="0"/>
                <w:i w:val="0"/>
                <w:color w:val="FFFFFF"/>
                <w:sz w:val="17"/>
              </w:rPr>
              <w:t>Chuyên cần</w:t>
            </w:r>
          </w:p>
        </w:tc>
      </w:tr>
      <w:tr>
        <w:tc>
          <w:tcPr>
            <w:tcW w:type="dxa" w:w="3494"/>
            <w:tcMar>
              <w:top w:w="100" w:type="dxa"/>
              <w:left w:w="80" w:type="dxa"/>
              <w:bottom w:w="100" w:type="dxa"/>
              <w:right w:w="80" w:type="dxa"/>
            </w:tcMar>
            <w:vAlign w:val="center"/>
            <w:shd w:fill="ED7D31"/>
          </w:tcPr>
          <w:p>
            <w:pPr>
              <w:keepNext w:val="0"/>
              <w:spacing w:before="0" w:after="0" w:line="240" w:lineRule="auto"/>
              <w:jc w:val="center"/>
            </w:pPr>
            <w:r>
              <w:rPr>
                <w:rFonts w:ascii="Cambria" w:hAnsi="Cambria" w:eastAsia="Cambria"/>
                <w:b/>
                <w:i w:val="0"/>
                <w:color w:val="FFFFFF"/>
                <w:sz w:val="30"/>
              </w:rPr>
              <w:t>84,6/100</w:t>
              <w:br/>
            </w:r>
            <w:r>
              <w:rPr>
                <w:rFonts w:ascii="Cambria" w:hAnsi="Cambria" w:eastAsia="Cambria"/>
                <w:b w:val="0"/>
                <w:i w:val="0"/>
                <w:color w:val="FFFFFF"/>
                <w:sz w:val="17"/>
              </w:rPr>
              <w:t>Điểm sau học</w:t>
            </w:r>
          </w:p>
        </w:tc>
        <w:tc>
          <w:tcPr>
            <w:tcW w:type="dxa" w:w="3494"/>
            <w:tcMar>
              <w:top w:w="100" w:type="dxa"/>
              <w:left w:w="80" w:type="dxa"/>
              <w:bottom w:w="100" w:type="dxa"/>
              <w:right w:w="80" w:type="dxa"/>
            </w:tcMar>
            <w:vAlign w:val="center"/>
            <w:shd w:fill="FFC000"/>
          </w:tcPr>
          <w:p>
            <w:pPr>
              <w:keepNext w:val="0"/>
              <w:spacing w:before="0" w:after="0" w:line="240" w:lineRule="auto"/>
              <w:jc w:val="center"/>
            </w:pPr>
            <w:r>
              <w:rPr>
                <w:rFonts w:ascii="Cambria" w:hAnsi="Cambria" w:eastAsia="Cambria"/>
                <w:b/>
                <w:i w:val="0"/>
                <w:color w:val="FFFFFF"/>
                <w:sz w:val="30"/>
              </w:rPr>
              <w:t>4,58/5</w:t>
              <w:br/>
            </w:r>
            <w:r>
              <w:rPr>
                <w:rFonts w:ascii="Cambria" w:hAnsi="Cambria" w:eastAsia="Cambria"/>
                <w:b w:val="0"/>
                <w:i w:val="0"/>
                <w:color w:val="FFFFFF"/>
                <w:sz w:val="17"/>
              </w:rPr>
              <w:t>Hài lòng</w:t>
            </w:r>
          </w:p>
        </w:tc>
        <w:tc>
          <w:tcPr>
            <w:tcW w:type="dxa" w:w="3494"/>
            <w:tcMar>
              <w:top w:w="100" w:type="dxa"/>
              <w:left w:w="80" w:type="dxa"/>
              <w:bottom w:w="100" w:type="dxa"/>
              <w:right w:w="80" w:type="dxa"/>
            </w:tcMar>
            <w:vAlign w:val="center"/>
            <w:shd w:fill="A5A5A5"/>
          </w:tcPr>
          <w:p>
            <w:pPr>
              <w:keepNext w:val="0"/>
              <w:spacing w:before="0" w:after="0" w:line="240" w:lineRule="auto"/>
              <w:jc w:val="center"/>
            </w:pPr>
            <w:r>
              <w:rPr>
                <w:rFonts w:ascii="Cambria" w:hAnsi="Cambria" w:eastAsia="Cambria"/>
                <w:b/>
                <w:i w:val="0"/>
                <w:color w:val="FFFFFF"/>
                <w:sz w:val="30"/>
              </w:rPr>
              <w:t>512,4 triệu</w:t>
              <w:br/>
            </w:r>
            <w:r>
              <w:rPr>
                <w:rFonts w:ascii="Cambria" w:hAnsi="Cambria" w:eastAsia="Cambria"/>
                <w:b w:val="0"/>
                <w:i w:val="0"/>
                <w:color w:val="FFFFFF"/>
                <w:sz w:val="17"/>
              </w:rPr>
              <w:t>Chi phí thực tế</w:t>
            </w:r>
          </w:p>
        </w:tc>
      </w:tr>
    </w:tbl>
    <w:tbl>
      <w:tblPr>
        <w:tblW w:type="auto" w:w="0"/>
        <w:tblLook w:firstColumn="1" w:firstRow="1" w:lastColumn="0" w:lastRow="0" w:noHBand="0" w:noVBand="1" w:val="04A0"/>
      </w:tblPr>
      <w:tblGrid>
        <w:gridCol w:w="10482"/>
      </w:tblGrid>
      <w:tr>
        <w:tc>
          <w:tcPr>
            <w:tcW w:type="dxa" w:w="10482"/>
            <w:shd w:fill="E2F0D9"/>
            <w:tcMar>
              <w:top w:w="90" w:type="dxa"/>
              <w:left w:w="100" w:type="dxa"/>
              <w:bottom w:w="90" w:type="dxa"/>
              <w:right w:w="100" w:type="dxa"/>
            </w:tcMar>
            <w:tcBorders>
              <w:top w:val="single" w:sz="8" w:color="70AD47"/>
              <w:left w:val="single" w:sz="8" w:color="70AD47"/>
              <w:bottom w:val="single" w:sz="8" w:color="70AD47"/>
              <w:right w:val="single" w:sz="8" w:color="70AD47"/>
            </w:tcBorders>
          </w:tcPr>
          <w:p>
            <w:pPr>
              <w:keepNext w:val="0"/>
              <w:spacing w:before="0" w:after="0" w:line="259" w:lineRule="auto"/>
            </w:pPr>
            <w:r>
              <w:rPr>
                <w:rFonts w:ascii="Cambria" w:hAnsi="Cambria" w:eastAsia="Cambria"/>
                <w:b w:val="0"/>
                <w:i w:val="0"/>
                <w:color w:val="333333"/>
                <w:sz w:val="19"/>
              </w:rPr>
              <w:t>Chương trình đạt 8/9 chỉ tiêu mục tiêu. Chỉ tiêu duy nhất chưa đạt tuyệt đối là tỷ lệ hoàn thành 100% do hai học viên chưa hoàn tất dự án/điều kiện chuyên cần. Kết quả kiến thức, mức hài lòng, chuyển giao hành vi và chi phí đều tốt hơn kế hoạch.</w:t>
            </w:r>
          </w:p>
        </w:tc>
      </w:tr>
    </w:tbl>
    <w:p>
      <w:pPr>
        <w:pStyle w:val="Heading1"/>
      </w:pPr>
      <w:r>
        <w:t>2. Kết quả theo lớp</w:t>
      </w:r>
    </w:p>
    <w:tbl>
      <w:tblPr>
        <w:tblW w:type="auto" w:w="0"/>
        <w:jc w:val="center"/>
        <w:tblLayout w:type="fixed"/>
        <w:tblLook w:firstColumn="1" w:firstRow="1" w:lastColumn="0" w:lastRow="0" w:noHBand="0" w:noVBand="1" w:val="04A0"/>
      </w:tblPr>
      <w:tblGrid>
        <w:gridCol w:w="1497"/>
        <w:gridCol w:w="1497"/>
        <w:gridCol w:w="1497"/>
        <w:gridCol w:w="1497"/>
        <w:gridCol w:w="1497"/>
        <w:gridCol w:w="1497"/>
        <w:gridCol w:w="1497"/>
      </w:tblGrid>
      <w:tr>
        <w:trPr>
          <w:tblHeader w:val="true"/>
          <w:cantSplit/>
        </w:trPr>
        <w:tc>
          <w:tcPr>
            <w:tcW w:type="dxa" w:w="1134"/>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Lớp</w:t>
            </w:r>
          </w:p>
        </w:tc>
        <w:tc>
          <w:tcPr>
            <w:tcW w:type="dxa" w:w="1134"/>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Học viên</w:t>
            </w:r>
          </w:p>
        </w:tc>
        <w:tc>
          <w:tcPr>
            <w:tcW w:type="dxa" w:w="1474"/>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Hoàn thành</w:t>
            </w:r>
          </w:p>
        </w:tc>
        <w:tc>
          <w:tcPr>
            <w:tcW w:type="dxa" w:w="1417"/>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Điểm trước</w:t>
            </w:r>
          </w:p>
        </w:tc>
        <w:tc>
          <w:tcPr>
            <w:tcW w:type="dxa" w:w="1417"/>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Điểm sau</w:t>
            </w:r>
          </w:p>
        </w:tc>
        <w:tc>
          <w:tcPr>
            <w:tcW w:type="dxa" w:w="1304"/>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Hài lòng</w:t>
            </w:r>
          </w:p>
        </w:tc>
        <w:tc>
          <w:tcPr>
            <w:tcW w:type="dxa" w:w="1361"/>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Chuyên cần</w:t>
            </w:r>
          </w:p>
        </w:tc>
      </w:tr>
      <w:tr>
        <w:trPr>
          <w:cantSplit/>
        </w:trPr>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Lớp 1</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24</w:t>
            </w:r>
          </w:p>
        </w:tc>
        <w:tc>
          <w:tcPr>
            <w:tcW w:type="dxa" w:w="147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23/24</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60.2</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83.4</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4.56</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99.0%</w:t>
            </w:r>
          </w:p>
        </w:tc>
      </w:tr>
      <w:tr>
        <w:trPr>
          <w:cantSplit/>
        </w:trPr>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Lớp 2</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24</w:t>
            </w:r>
          </w:p>
        </w:tc>
        <w:tc>
          <w:tcPr>
            <w:tcW w:type="dxa" w:w="147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24/24</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63.1</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85.0</w:t>
            </w:r>
          </w:p>
        </w:tc>
        <w:tc>
          <w:tcPr>
            <w:tcW w:type="dxa" w:w="130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4.49</w:t>
            </w:r>
          </w:p>
        </w:tc>
        <w:tc>
          <w:tcPr>
            <w:tcW w:type="dxa" w:w="13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100.0%</w:t>
            </w:r>
          </w:p>
        </w:tc>
      </w:tr>
      <w:tr>
        <w:trPr>
          <w:cantSplit/>
        </w:trPr>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Lớp 3</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24</w:t>
            </w:r>
          </w:p>
        </w:tc>
        <w:tc>
          <w:tcPr>
            <w:tcW w:type="dxa" w:w="147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23/24</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62.1</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85.2</w:t>
            </w:r>
          </w:p>
        </w:tc>
        <w:tc>
          <w:tcPr>
            <w:tcW w:type="dxa" w:w="130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4.52</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97.9%</w:t>
            </w:r>
          </w:p>
        </w:tc>
      </w:tr>
    </w:tbl>
    <w:p>
      <w:pPr>
        <w:keepNext w:val="0"/>
        <w:spacing w:before="40" w:after="40" w:line="259" w:lineRule="auto"/>
        <w:jc w:val="center"/>
      </w:pPr>
      <w:r>
        <w:drawing>
          <wp:inline xmlns:a="http://schemas.openxmlformats.org/drawingml/2006/main" xmlns:pic="http://schemas.openxmlformats.org/drawingml/2006/picture">
            <wp:extent cx="5616000" cy="3104668"/>
            <wp:docPr id="1" name="Picture 1"/>
            <wp:cNvGraphicFramePr>
              <a:graphicFrameLocks noChangeAspect="1"/>
            </wp:cNvGraphicFramePr>
            <a:graphic>
              <a:graphicData uri="http://schemas.openxmlformats.org/drawingml/2006/picture">
                <pic:pic>
                  <pic:nvPicPr>
                    <pic:cNvPr id="0" name="report_pre_post.png"/>
                    <pic:cNvPicPr/>
                  </pic:nvPicPr>
                  <pic:blipFill>
                    <a:blip r:embed="rId11"/>
                    <a:stretch>
                      <a:fillRect/>
                    </a:stretch>
                  </pic:blipFill>
                  <pic:spPr>
                    <a:xfrm>
                      <a:off x="0" y="0"/>
                      <a:ext cx="5616000" cy="3104668"/>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So sánh điểm kiểm tra trước và sau đào tạo theo lớp</w:t>
      </w:r>
    </w:p>
    <w:p>
      <w:pPr>
        <w:pStyle w:val="Heading1"/>
      </w:pPr>
      <w:r>
        <w:t>3. Phân tích mức độ đạt chuẩn đầu ra</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3402"/>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Chuẩn đầu ra</w:t>
            </w:r>
          </w:p>
        </w:tc>
        <w:tc>
          <w:tcPr>
            <w:tcW w:type="dxa" w:w="1928"/>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Mục tiêu</w:t>
            </w:r>
          </w:p>
        </w:tc>
        <w:tc>
          <w:tcPr>
            <w:tcW w:type="dxa" w:w="2381"/>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Kết quả</w:t>
            </w:r>
          </w:p>
        </w:tc>
        <w:tc>
          <w:tcPr>
            <w:tcW w:type="dxa" w:w="1928"/>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Đánh giá</w:t>
            </w:r>
          </w:p>
        </w:tc>
      </w:tr>
      <w:tr>
        <w:trPr>
          <w:cantSplit/>
        </w:trPr>
        <w:tc>
          <w:tcPr>
            <w:tcW w:type="dxa" w:w="340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Lập kế hoạch và điều hành ca</w:t>
            </w:r>
          </w:p>
        </w:tc>
        <w:tc>
          <w:tcPr>
            <w:tcW w:type="dxa" w:w="19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80/100</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85,2/100</w:t>
            </w:r>
          </w:p>
        </w:tc>
        <w:tc>
          <w:tcPr>
            <w:tcW w:type="dxa" w:w="19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r>
        <w:trPr>
          <w:cantSplit/>
        </w:trPr>
        <w:tc>
          <w:tcPr>
            <w:tcW w:type="dxa" w:w="340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Giao việc và phản hồi</w:t>
            </w:r>
          </w:p>
        </w:tc>
        <w:tc>
          <w:tcPr>
            <w:tcW w:type="dxa" w:w="192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4/5 tiêu chí</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4,3/5</w:t>
            </w:r>
          </w:p>
        </w:tc>
        <w:tc>
          <w:tcPr>
            <w:tcW w:type="dxa" w:w="192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r>
        <w:trPr>
          <w:cantSplit/>
        </w:trPr>
        <w:tc>
          <w:tcPr>
            <w:tcW w:type="dxa" w:w="340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Lean Problem Solving/A3</w:t>
            </w:r>
          </w:p>
        </w:tc>
        <w:tc>
          <w:tcPr>
            <w:tcW w:type="dxa" w:w="19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75/100</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82,8/100</w:t>
            </w:r>
          </w:p>
        </w:tc>
        <w:tc>
          <w:tcPr>
            <w:tcW w:type="dxa" w:w="19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r>
        <w:trPr>
          <w:cantSplit/>
        </w:trPr>
        <w:tc>
          <w:tcPr>
            <w:tcW w:type="dxa" w:w="340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Dự án cải thiện KPI</w:t>
            </w:r>
          </w:p>
        </w:tc>
        <w:tc>
          <w:tcPr>
            <w:tcW w:type="dxa" w:w="192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70% dự án đạt</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10/12 dự án đạt (83,3%)</w:t>
            </w:r>
          </w:p>
        </w:tc>
        <w:tc>
          <w:tcPr>
            <w:tcW w:type="dxa" w:w="192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r>
        <w:trPr>
          <w:cantSplit/>
        </w:trPr>
        <w:tc>
          <w:tcPr>
            <w:tcW w:type="dxa" w:w="340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Chuyển giao hành vi 90 ngày</w:t>
            </w:r>
          </w:p>
        </w:tc>
        <w:tc>
          <w:tcPr>
            <w:tcW w:type="dxa" w:w="19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75%</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82,0%</w:t>
            </w:r>
          </w:p>
        </w:tc>
        <w:tc>
          <w:tcPr>
            <w:tcW w:type="dxa" w:w="192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w:t>
            </w:r>
          </w:p>
        </w:tc>
      </w:tr>
    </w:tbl>
    <w:p>
      <w:pPr>
        <w:pStyle w:val="Heading1"/>
      </w:pPr>
      <w:r>
        <w:t>4. Phản hồi học viên</w:t>
      </w:r>
    </w:p>
    <w:p>
      <w:pPr>
        <w:keepNext w:val="0"/>
        <w:spacing w:before="40" w:after="40" w:line="259" w:lineRule="auto"/>
        <w:jc w:val="center"/>
      </w:pPr>
      <w:r>
        <w:drawing>
          <wp:inline xmlns:a="http://schemas.openxmlformats.org/drawingml/2006/main" xmlns:pic="http://schemas.openxmlformats.org/drawingml/2006/picture">
            <wp:extent cx="5688000" cy="3154810"/>
            <wp:docPr id="2" name="Picture 2"/>
            <wp:cNvGraphicFramePr>
              <a:graphicFrameLocks noChangeAspect="1"/>
            </wp:cNvGraphicFramePr>
            <a:graphic>
              <a:graphicData uri="http://schemas.openxmlformats.org/drawingml/2006/picture">
                <pic:pic>
                  <pic:nvPicPr>
                    <pic:cNvPr id="0" name="evaluation_satisfaction.png"/>
                    <pic:cNvPicPr/>
                  </pic:nvPicPr>
                  <pic:blipFill>
                    <a:blip r:embed="rId12"/>
                    <a:stretch>
                      <a:fillRect/>
                    </a:stretch>
                  </pic:blipFill>
                  <pic:spPr>
                    <a:xfrm>
                      <a:off x="0" y="0"/>
                      <a:ext cx="5688000" cy="3154810"/>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Điểm hài lòng trung bình theo tiêu chí</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3572"/>
            <w:shd w:fill="FFC00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Chỉ tiêu phản hồi</w:t>
            </w:r>
          </w:p>
        </w:tc>
        <w:tc>
          <w:tcPr>
            <w:tcW w:type="dxa" w:w="1701"/>
            <w:shd w:fill="FFC00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Kết quả</w:t>
            </w:r>
          </w:p>
        </w:tc>
        <w:tc>
          <w:tcPr>
            <w:tcW w:type="dxa" w:w="1587"/>
            <w:shd w:fill="FFC00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Mục tiêu</w:t>
            </w:r>
          </w:p>
        </w:tc>
        <w:tc>
          <w:tcPr>
            <w:tcW w:type="dxa" w:w="2948"/>
            <w:shd w:fill="FFC00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Nhận định</w:t>
            </w:r>
          </w:p>
        </w:tc>
      </w:tr>
      <w:tr>
        <w:trPr>
          <w:cantSplit/>
        </w:trPr>
        <w:tc>
          <w:tcPr>
            <w:tcW w:type="dxa" w:w="357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Điểm hài lòng tổng thể</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4,58/5</w:t>
            </w:r>
          </w:p>
        </w:tc>
        <w:tc>
          <w:tcPr>
            <w:tcW w:type="dxa" w:w="158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4,30</w:t>
            </w:r>
          </w:p>
        </w:tc>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Vượt mục tiêu</w:t>
            </w:r>
          </w:p>
        </w:tc>
      </w:tr>
      <w:tr>
        <w:trPr>
          <w:cantSplit/>
        </w:trPr>
        <w:tc>
          <w:tcPr>
            <w:tcW w:type="dxa" w:w="357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Tỷ lệ sẵn sàng giới thiệu (Promoter)</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72,2%</w:t>
            </w:r>
          </w:p>
        </w:tc>
        <w:tc>
          <w:tcPr>
            <w:tcW w:type="dxa" w:w="158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60%</w:t>
            </w:r>
          </w:p>
        </w:tc>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Tốt</w:t>
            </w:r>
          </w:p>
        </w:tc>
      </w:tr>
      <w:tr>
        <w:trPr>
          <w:cantSplit/>
        </w:trPr>
        <w:tc>
          <w:tcPr>
            <w:tcW w:type="dxa" w:w="357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eNPS học tập</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66,7</w:t>
            </w:r>
          </w:p>
        </w:tc>
        <w:tc>
          <w:tcPr>
            <w:tcW w:type="dxa" w:w="158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50</w:t>
            </w:r>
          </w:p>
        </w:tc>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Tốt</w:t>
            </w:r>
          </w:p>
        </w:tc>
      </w:tr>
      <w:tr>
        <w:trPr>
          <w:cantSplit/>
        </w:trPr>
        <w:tc>
          <w:tcPr>
            <w:tcW w:type="dxa" w:w="357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Tỷ lệ cho rằng áp dụng được ngay</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88,6%</w:t>
            </w:r>
          </w:p>
        </w:tc>
        <w:tc>
          <w:tcPr>
            <w:tcW w:type="dxa" w:w="158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80%</w:t>
            </w:r>
          </w:p>
        </w:tc>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Vượt mục tiêu</w:t>
            </w:r>
          </w:p>
        </w:tc>
      </w:tr>
      <w:tr>
        <w:trPr>
          <w:cantSplit/>
        </w:trPr>
        <w:tc>
          <w:tcPr>
            <w:tcW w:type="dxa" w:w="357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Tỷ lệ đề nghị tăng thời lượng thực hành</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31,4%</w:t>
            </w:r>
          </w:p>
        </w:tc>
        <w:tc>
          <w:tcPr>
            <w:tcW w:type="dxa" w:w="158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Theo dõi</w:t>
            </w:r>
          </w:p>
        </w:tc>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Cần tăng thời lượng simulation</w:t>
            </w:r>
          </w:p>
        </w:tc>
      </w:tr>
    </w:tbl>
    <w:p>
      <w:pPr>
        <w:pStyle w:val="Heading1"/>
      </w:pPr>
      <w:r>
        <w:t>5. Tình hình chi phí</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2551"/>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Khoản mục</w:t>
            </w:r>
          </w:p>
        </w:tc>
        <w:tc>
          <w:tcPr>
            <w:tcW w:type="dxa" w:w="1701"/>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Ngân sách duyệt (triệu)</w:t>
            </w:r>
          </w:p>
        </w:tc>
        <w:tc>
          <w:tcPr>
            <w:tcW w:type="dxa" w:w="1644"/>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Thực tế (triệu)</w:t>
            </w:r>
          </w:p>
        </w:tc>
        <w:tc>
          <w:tcPr>
            <w:tcW w:type="dxa" w:w="1361"/>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Chênh lệch</w:t>
            </w:r>
          </w:p>
        </w:tc>
        <w:tc>
          <w:tcPr>
            <w:tcW w:type="dxa" w:w="2665"/>
            <w:shd w:fill="A5A5A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Giải thích</w:t>
            </w:r>
          </w:p>
        </w:tc>
      </w:tr>
      <w:tr>
        <w:trPr>
          <w:cantSplit/>
        </w:trPr>
        <w:tc>
          <w:tcPr>
            <w:tcW w:type="dxa" w:w="255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Giảng viên &amp; bản quyền</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230,0</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226,0</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-4,0</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Tối ưu số giờ tư vấn</w:t>
            </w:r>
          </w:p>
        </w:tc>
      </w:tr>
      <w:tr>
        <w:trPr>
          <w:cantSplit/>
        </w:trPr>
        <w:tc>
          <w:tcPr>
            <w:tcW w:type="dxa" w:w="255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Phòng học/thiết bị/mô phỏng</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82,0</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76,8</w:t>
            </w:r>
          </w:p>
        </w:tc>
        <w:tc>
          <w:tcPr>
            <w:tcW w:type="dxa" w:w="13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-5,2</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Tận dụng phòng đào tạo nội bộ</w:t>
            </w:r>
          </w:p>
        </w:tc>
      </w:tr>
      <w:tr>
        <w:trPr>
          <w:cantSplit/>
        </w:trPr>
        <w:tc>
          <w:tcPr>
            <w:tcW w:type="dxa" w:w="255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Tài liệu &amp; LMS</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58,0</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54,6</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-3,4</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Giảm in ấn, dùng tài liệu số</w:t>
            </w:r>
          </w:p>
        </w:tc>
      </w:tr>
      <w:tr>
        <w:trPr>
          <w:cantSplit/>
        </w:trPr>
        <w:tc>
          <w:tcPr>
            <w:tcW w:type="dxa" w:w="255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Dự án thực hành &amp; coaching</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96,0</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92,0</w:t>
            </w:r>
          </w:p>
        </w:tc>
        <w:tc>
          <w:tcPr>
            <w:tcW w:type="dxa" w:w="13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-4,0</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Một phần coaching chuyển sang trực tuyến</w:t>
            </w:r>
          </w:p>
        </w:tc>
      </w:tr>
      <w:tr>
        <w:trPr>
          <w:cantSplit/>
        </w:trPr>
        <w:tc>
          <w:tcPr>
            <w:tcW w:type="dxa" w:w="255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Dự phòng</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82,0</w:t>
            </w:r>
          </w:p>
        </w:tc>
        <w:tc>
          <w:tcPr>
            <w:tcW w:type="dxa" w:w="164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63,0</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-19,0</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Không phát sinh lớp bổ sung</w:t>
            </w:r>
          </w:p>
        </w:tc>
      </w:tr>
      <w:tr>
        <w:trPr>
          <w:cantSplit/>
        </w:trPr>
        <w:tc>
          <w:tcPr>
            <w:tcW w:type="dxa" w:w="255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Tổng cộng</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548,0</w:t>
            </w:r>
          </w:p>
        </w:tc>
        <w:tc>
          <w:tcPr>
            <w:tcW w:type="dxa" w:w="164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6"/>
              </w:rPr>
              <w:t>512,4</w:t>
            </w:r>
          </w:p>
        </w:tc>
        <w:tc>
          <w:tcPr>
            <w:tcW w:type="dxa" w:w="13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-35,6</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Tiết kiệm 6,5%</w:t>
            </w:r>
          </w:p>
        </w:tc>
      </w:tr>
    </w:tbl>
    <w:p>
      <w:pPr>
        <w:pStyle w:val="Heading1"/>
      </w:pPr>
      <w:r>
        <w:t>6. Dự án ứng dụng tiêu biểu</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3061"/>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Đơn vị/Dự án</w:t>
            </w:r>
          </w:p>
        </w:tc>
        <w:tc>
          <w:tcPr>
            <w:tcW w:type="dxa" w:w="1814"/>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Học viên nòng cốt</w:t>
            </w:r>
          </w:p>
        </w:tc>
        <w:tc>
          <w:tcPr>
            <w:tcW w:type="dxa" w:w="1531"/>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KPI trước</w:t>
            </w:r>
          </w:p>
        </w:tc>
        <w:tc>
          <w:tcPr>
            <w:tcW w:type="dxa" w:w="1531"/>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KPI sau</w:t>
            </w:r>
          </w:p>
        </w:tc>
        <w:tc>
          <w:tcPr>
            <w:tcW w:type="dxa" w:w="2211"/>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Lợi ích quy đổi năm</w:t>
            </w:r>
          </w:p>
        </w:tc>
      </w:tr>
      <w:tr>
        <w:trPr>
          <w:cantSplit/>
        </w:trPr>
        <w:tc>
          <w:tcPr>
            <w:tcW w:type="dxa" w:w="30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Bắc Ninh – Giảm dừng máy Line A3</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DV0003, DV0008</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4,8% thời gian</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4,0%</w:t>
            </w:r>
          </w:p>
        </w:tc>
        <w:tc>
          <w:tcPr>
            <w:tcW w:type="dxa" w:w="221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420 triệu đồng</w:t>
            </w:r>
          </w:p>
        </w:tc>
      </w:tr>
      <w:tr>
        <w:trPr>
          <w:cantSplit/>
        </w:trPr>
        <w:tc>
          <w:tcPr>
            <w:tcW w:type="dxa" w:w="30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Bình Dương – Giảm lỗi ngoại quan Model X</w:t>
            </w:r>
          </w:p>
        </w:tc>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DV0027, DV0034</w:t>
            </w:r>
          </w:p>
        </w:tc>
        <w:tc>
          <w:tcPr>
            <w:tcW w:type="dxa" w:w="15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2,1% lỗi</w:t>
            </w:r>
          </w:p>
        </w:tc>
        <w:tc>
          <w:tcPr>
            <w:tcW w:type="dxa" w:w="15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1,75%</w:t>
            </w:r>
          </w:p>
        </w:tc>
        <w:tc>
          <w:tcPr>
            <w:tcW w:type="dxa" w:w="221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360 triệu đồng</w:t>
            </w:r>
          </w:p>
        </w:tc>
      </w:tr>
      <w:tr>
        <w:trPr>
          <w:cantSplit/>
        </w:trPr>
        <w:tc>
          <w:tcPr>
            <w:tcW w:type="dxa" w:w="30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Long An – Rút ngắn changeover Line C</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DV0049, DV0053</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52 phút</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46 phút</w:t>
            </w:r>
          </w:p>
        </w:tc>
        <w:tc>
          <w:tcPr>
            <w:tcW w:type="dxa" w:w="221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285 triệu đồng</w:t>
            </w:r>
          </w:p>
        </w:tc>
      </w:tr>
      <w:tr>
        <w:trPr>
          <w:cantSplit/>
        </w:trPr>
        <w:tc>
          <w:tcPr>
            <w:tcW w:type="dxa" w:w="30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Đà Nẵng – Chuẩn hóa họp đầu ca</w:t>
            </w:r>
          </w:p>
        </w:tc>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DV0067</w:t>
            </w:r>
          </w:p>
        </w:tc>
        <w:tc>
          <w:tcPr>
            <w:tcW w:type="dxa" w:w="15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64% tuân thủ</w:t>
            </w:r>
          </w:p>
        </w:tc>
        <w:tc>
          <w:tcPr>
            <w:tcW w:type="dxa" w:w="153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92%</w:t>
            </w:r>
          </w:p>
        </w:tc>
        <w:tc>
          <w:tcPr>
            <w:tcW w:type="dxa" w:w="221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120 triệu đồng</w:t>
            </w:r>
          </w:p>
        </w:tc>
      </w:tr>
      <w:tr>
        <w:trPr>
          <w:cantSplit/>
        </w:trPr>
        <w:tc>
          <w:tcPr>
            <w:tcW w:type="dxa" w:w="30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Kho vận – Giảm sai lệch cấp phát</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DV0062, DV0065</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0,42%</w:t>
            </w:r>
          </w:p>
        </w:tc>
        <w:tc>
          <w:tcPr>
            <w:tcW w:type="dxa" w:w="153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0,31%</w:t>
            </w:r>
          </w:p>
        </w:tc>
        <w:tc>
          <w:tcPr>
            <w:tcW w:type="dxa" w:w="221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175 triệu đồng</w:t>
            </w:r>
          </w:p>
        </w:tc>
      </w:tr>
    </w:tbl>
    <w:p>
      <w:pPr>
        <w:pStyle w:val="Heading1"/>
      </w:pPr>
      <w:r>
        <w:t>7. Kết quả sau 90 ngày</w:t>
      </w:r>
    </w:p>
    <w:tbl>
      <w:tblPr>
        <w:tblW w:type="auto" w:w="0"/>
        <w:jc w:val="center"/>
        <w:tblLayout w:type="fixed"/>
        <w:tblLook w:firstColumn="1" w:firstRow="1" w:lastColumn="0" w:lastRow="0" w:noHBand="0" w:noVBand="1" w:val="04A0"/>
      </w:tblPr>
      <w:tblGrid>
        <w:gridCol w:w="2620"/>
        <w:gridCol w:w="2620"/>
        <w:gridCol w:w="2620"/>
        <w:gridCol w:w="2620"/>
      </w:tblGrid>
      <w:tr>
        <w:tc>
          <w:tcPr>
            <w:tcW w:type="dxa" w:w="2620"/>
            <w:tcMar>
              <w:top w:w="100" w:type="dxa"/>
              <w:left w:w="80" w:type="dxa"/>
              <w:bottom w:w="100" w:type="dxa"/>
              <w:right w:w="80" w:type="dxa"/>
            </w:tcMar>
            <w:vAlign w:val="center"/>
            <w:shd w:fill="70AD47"/>
          </w:tcPr>
          <w:p>
            <w:pPr>
              <w:keepNext w:val="0"/>
              <w:spacing w:before="0" w:after="0" w:line="240" w:lineRule="auto"/>
              <w:jc w:val="center"/>
            </w:pPr>
            <w:r>
              <w:rPr>
                <w:rFonts w:ascii="Cambria" w:hAnsi="Cambria" w:eastAsia="Cambria"/>
                <w:b/>
                <w:i w:val="0"/>
                <w:color w:val="FFFFFF"/>
                <w:sz w:val="30"/>
              </w:rPr>
              <w:t>10/12</w:t>
              <w:br/>
            </w:r>
            <w:r>
              <w:rPr>
                <w:rFonts w:ascii="Cambria" w:hAnsi="Cambria" w:eastAsia="Cambria"/>
                <w:b w:val="0"/>
                <w:i w:val="0"/>
                <w:color w:val="FFFFFF"/>
                <w:sz w:val="17"/>
              </w:rPr>
              <w:t>Dự án đạt KPI</w:t>
            </w:r>
          </w:p>
        </w:tc>
        <w:tc>
          <w:tcPr>
            <w:tcW w:type="dxa" w:w="2620"/>
            <w:tcMar>
              <w:top w:w="100" w:type="dxa"/>
              <w:left w:w="80" w:type="dxa"/>
              <w:bottom w:w="100" w:type="dxa"/>
              <w:right w:w="80" w:type="dxa"/>
            </w:tcMar>
            <w:vAlign w:val="center"/>
            <w:shd w:fill="4472C4"/>
          </w:tcPr>
          <w:p>
            <w:pPr>
              <w:keepNext w:val="0"/>
              <w:spacing w:before="0" w:after="0" w:line="240" w:lineRule="auto"/>
              <w:jc w:val="center"/>
            </w:pPr>
            <w:r>
              <w:rPr>
                <w:rFonts w:ascii="Cambria" w:hAnsi="Cambria" w:eastAsia="Cambria"/>
                <w:b/>
                <w:i w:val="0"/>
                <w:color w:val="FFFFFF"/>
                <w:sz w:val="30"/>
              </w:rPr>
              <w:t>82%</w:t>
              <w:br/>
            </w:r>
            <w:r>
              <w:rPr>
                <w:rFonts w:ascii="Cambria" w:hAnsi="Cambria" w:eastAsia="Cambria"/>
                <w:b w:val="0"/>
                <w:i w:val="0"/>
                <w:color w:val="FFFFFF"/>
                <w:sz w:val="17"/>
              </w:rPr>
              <w:t>Chuyển giao hành vi</w:t>
            </w:r>
          </w:p>
        </w:tc>
        <w:tc>
          <w:tcPr>
            <w:tcW w:type="dxa" w:w="2620"/>
            <w:tcMar>
              <w:top w:w="100" w:type="dxa"/>
              <w:left w:w="80" w:type="dxa"/>
              <w:bottom w:w="100" w:type="dxa"/>
              <w:right w:w="80" w:type="dxa"/>
            </w:tcMar>
            <w:vAlign w:val="center"/>
            <w:shd w:fill="ED7D31"/>
          </w:tcPr>
          <w:p>
            <w:pPr>
              <w:keepNext w:val="0"/>
              <w:spacing w:before="0" w:after="0" w:line="240" w:lineRule="auto"/>
              <w:jc w:val="center"/>
            </w:pPr>
            <w:r>
              <w:rPr>
                <w:rFonts w:ascii="Cambria" w:hAnsi="Cambria" w:eastAsia="Cambria"/>
                <w:b/>
                <w:i w:val="0"/>
                <w:color w:val="FFFFFF"/>
                <w:sz w:val="30"/>
              </w:rPr>
              <w:t>1,82 tỷ</w:t>
              <w:br/>
            </w:r>
            <w:r>
              <w:rPr>
                <w:rFonts w:ascii="Cambria" w:hAnsi="Cambria" w:eastAsia="Cambria"/>
                <w:b w:val="0"/>
                <w:i w:val="0"/>
                <w:color w:val="FFFFFF"/>
                <w:sz w:val="17"/>
              </w:rPr>
              <w:t>Lợi ích quy đổi</w:t>
            </w:r>
          </w:p>
        </w:tc>
        <w:tc>
          <w:tcPr>
            <w:tcW w:type="dxa" w:w="2620"/>
            <w:tcMar>
              <w:top w:w="100" w:type="dxa"/>
              <w:left w:w="80" w:type="dxa"/>
              <w:bottom w:w="100" w:type="dxa"/>
              <w:right w:w="80" w:type="dxa"/>
            </w:tcMar>
            <w:vAlign w:val="center"/>
            <w:shd w:fill="FFC000"/>
          </w:tcPr>
          <w:p>
            <w:pPr>
              <w:keepNext w:val="0"/>
              <w:spacing w:before="0" w:after="0" w:line="240" w:lineRule="auto"/>
              <w:jc w:val="center"/>
            </w:pPr>
            <w:r>
              <w:rPr>
                <w:rFonts w:ascii="Cambria" w:hAnsi="Cambria" w:eastAsia="Cambria"/>
                <w:b/>
                <w:i w:val="0"/>
                <w:color w:val="FFFFFF"/>
                <w:sz w:val="30"/>
              </w:rPr>
              <w:t>255%</w:t>
              <w:br/>
            </w:r>
            <w:r>
              <w:rPr>
                <w:rFonts w:ascii="Cambria" w:hAnsi="Cambria" w:eastAsia="Cambria"/>
                <w:b w:val="0"/>
                <w:i w:val="0"/>
                <w:color w:val="FFFFFF"/>
                <w:sz w:val="17"/>
              </w:rPr>
              <w:t>ROI</w:t>
            </w:r>
          </w:p>
        </w:tc>
      </w:tr>
    </w:tbl>
    <w:p>
      <w:pPr>
        <w:keepNext w:val="0"/>
        <w:spacing w:before="40" w:after="40" w:line="259" w:lineRule="auto"/>
        <w:jc w:val="center"/>
      </w:pPr>
      <w:r>
        <w:drawing>
          <wp:inline xmlns:a="http://schemas.openxmlformats.org/drawingml/2006/main" xmlns:pic="http://schemas.openxmlformats.org/drawingml/2006/picture">
            <wp:extent cx="5688000" cy="3147592"/>
            <wp:docPr id="3" name="Picture 3"/>
            <wp:cNvGraphicFramePr>
              <a:graphicFrameLocks noChangeAspect="1"/>
            </wp:cNvGraphicFramePr>
            <a:graphic>
              <a:graphicData uri="http://schemas.openxmlformats.org/drawingml/2006/picture">
                <pic:pic>
                  <pic:nvPicPr>
                    <pic:cNvPr id="0" name="post_training_impact.png"/>
                    <pic:cNvPicPr/>
                  </pic:nvPicPr>
                  <pic:blipFill>
                    <a:blip r:embed="rId13"/>
                    <a:stretch>
                      <a:fillRect/>
                    </a:stretch>
                  </pic:blipFill>
                  <pic:spPr>
                    <a:xfrm>
                      <a:off x="0" y="0"/>
                      <a:ext cx="5688000" cy="3147592"/>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Mức cải thiện KPI tại các đơn vị tham gia</w:t>
      </w:r>
    </w:p>
    <w:p>
      <w:pPr>
        <w:pStyle w:val="Heading1"/>
      </w:pPr>
      <w:r>
        <w:t>8. Vấn đề tồn tại và hành động cải tiến</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2268"/>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Vấn đề</w:t>
            </w:r>
          </w:p>
        </w:tc>
        <w:tc>
          <w:tcPr>
            <w:tcW w:type="dxa" w:w="2438"/>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Nguyên nhân</w:t>
            </w:r>
          </w:p>
        </w:tc>
        <w:tc>
          <w:tcPr>
            <w:tcW w:type="dxa" w:w="3118"/>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Hành động</w:t>
            </w:r>
          </w:p>
        </w:tc>
        <w:tc>
          <w:tcPr>
            <w:tcW w:type="dxa" w:w="1417"/>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Chủ trì</w:t>
            </w:r>
          </w:p>
        </w:tc>
        <w:tc>
          <w:tcPr>
            <w:tcW w:type="dxa" w:w="1417"/>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Hạn hoàn thành</w:t>
            </w:r>
          </w:p>
        </w:tc>
      </w:tr>
      <w:tr>
        <w:trPr>
          <w:cantSplit/>
        </w:trPr>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02 học viên chưa hoàn thành</w:t>
            </w:r>
          </w:p>
        </w:tc>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Vắng học/dự án chưa đủ dữ liệu</w:t>
            </w:r>
          </w:p>
        </w:tc>
        <w:tc>
          <w:tcPr>
            <w:tcW w:type="dxa" w:w="311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Bố trí học bù và coaching bổ sung</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Learning Partner</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15/08/2026</w:t>
            </w:r>
          </w:p>
        </w:tc>
      </w:tr>
      <w:tr>
        <w:trPr>
          <w:cantSplit/>
        </w:trPr>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Thời lượng role play còn ngắn</w:t>
            </w:r>
          </w:p>
        </w:tc>
        <w:tc>
          <w:tcPr>
            <w:tcW w:type="dxa" w:w="243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Nội dung lý thuyết dày</w:t>
            </w:r>
          </w:p>
        </w:tc>
        <w:tc>
          <w:tcPr>
            <w:tcW w:type="dxa" w:w="311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Rút gọn M1; tăng 60 phút thực hành</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Giảng viên chính</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Trước lớp 2027</w:t>
            </w:r>
          </w:p>
        </w:tc>
      </w:tr>
      <w:tr>
        <w:trPr>
          <w:cantSplit/>
        </w:trPr>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Một số quản lý bảo trợ phản hồi chậm</w:t>
            </w:r>
          </w:p>
        </w:tc>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Chưa có SLA rõ ràng</w:t>
            </w:r>
          </w:p>
        </w:tc>
        <w:tc>
          <w:tcPr>
            <w:tcW w:type="dxa" w:w="311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Bổ sung SLA 05 ngày và nhắc tự động LMS</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L&amp;D Systems</w:t>
            </w:r>
          </w:p>
        </w:tc>
        <w:tc>
          <w:tcPr>
            <w:tcW w:type="dxa" w:w="141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30/09/2026</w:t>
            </w:r>
          </w:p>
        </w:tc>
      </w:tr>
      <w:tr>
        <w:trPr>
          <w:cantSplit/>
        </w:trPr>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Dữ liệu KPI chưa đồng nhất</w:t>
            </w:r>
          </w:p>
        </w:tc>
        <w:tc>
          <w:tcPr>
            <w:tcW w:type="dxa" w:w="243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Khác cách tính giữa nhà máy</w:t>
            </w:r>
          </w:p>
        </w:tc>
        <w:tc>
          <w:tcPr>
            <w:tcW w:type="dxa" w:w="311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Ban hành data dictionary dự án hành động</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CI Office/Finance</w:t>
            </w:r>
          </w:p>
        </w:tc>
        <w:tc>
          <w:tcPr>
            <w:tcW w:type="dxa" w:w="141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31/08/2026</w:t>
            </w:r>
          </w:p>
        </w:tc>
      </w:tr>
    </w:tbl>
    <w:p>
      <w:pPr>
        <w:pStyle w:val="Heading1"/>
      </w:pPr>
      <w:r>
        <w:t>9. Kiến nghị</w:t>
      </w:r>
    </w:p>
    <w:p>
      <w:pPr>
        <w:pStyle w:val="ListNumber"/>
        <w:spacing w:after="40"/>
        <w:ind w:left="369" w:hanging="198"/>
      </w:pPr>
      <w:r>
        <w:rPr>
          <w:rFonts w:ascii="Cambria" w:hAnsi="Cambria" w:eastAsia="Cambria"/>
          <w:b w:val="0"/>
          <w:i w:val="0"/>
          <w:color w:val="333333"/>
          <w:sz w:val="20"/>
        </w:rPr>
        <w:t>Công nhận chương trình là điều kiện bắt buộc trước hoặc trong vòng 06 tháng sau khi bổ nhiệm tổ trưởng.</w:t>
      </w:r>
    </w:p>
    <w:p>
      <w:pPr>
        <w:pStyle w:val="ListNumber"/>
        <w:spacing w:after="40"/>
        <w:ind w:left="369" w:hanging="198"/>
      </w:pPr>
      <w:r>
        <w:rPr>
          <w:rFonts w:ascii="Cambria" w:hAnsi="Cambria" w:eastAsia="Cambria"/>
          <w:b w:val="0"/>
          <w:i w:val="0"/>
          <w:color w:val="333333"/>
          <w:sz w:val="20"/>
        </w:rPr>
        <w:t>Mở rộng quy mô 84 học viên trong năm 2027 và duy trì mô hình 03 lớp/đợt để bảo đảm chất lượng.</w:t>
      </w:r>
    </w:p>
    <w:p>
      <w:pPr>
        <w:pStyle w:val="ListNumber"/>
        <w:spacing w:after="40"/>
        <w:ind w:left="369" w:hanging="198"/>
      </w:pPr>
      <w:r>
        <w:rPr>
          <w:rFonts w:ascii="Cambria" w:hAnsi="Cambria" w:eastAsia="Cambria"/>
          <w:b w:val="0"/>
          <w:i w:val="0"/>
          <w:color w:val="333333"/>
          <w:sz w:val="20"/>
        </w:rPr>
        <w:t>Duy trì dự án 90 ngày, nhưng rút thời gian báo cáo từ 120 ngày xuống 100 ngày và tăng vai trò của quản lý bảo trợ.</w:t>
      </w:r>
    </w:p>
    <w:p>
      <w:pPr>
        <w:pStyle w:val="ListNumber"/>
        <w:spacing w:after="40"/>
        <w:ind w:left="369" w:hanging="198"/>
      </w:pPr>
      <w:r>
        <w:rPr>
          <w:rFonts w:ascii="Cambria" w:hAnsi="Cambria" w:eastAsia="Cambria"/>
          <w:b w:val="0"/>
          <w:i w:val="0"/>
          <w:color w:val="333333"/>
          <w:sz w:val="20"/>
        </w:rPr>
        <w:t>Đưa bốn KPI chuyển giao vào Dashboard KPI đào tạo và báo cáo quý cho Ban Điều hành.</w:t>
      </w:r>
    </w:p>
    <w:tbl>
      <w:tblPr>
        <w:tblW w:type="auto" w:w="0"/>
        <w:jc w:val="center"/>
        <w:tblLook w:firstColumn="1" w:firstRow="1" w:lastColumn="0" w:lastRow="0" w:noHBand="0" w:noVBand="1" w:val="04A0"/>
      </w:tblPr>
      <w:tblGrid>
        <w:gridCol w:w="2620"/>
        <w:gridCol w:w="2620"/>
        <w:gridCol w:w="2620"/>
        <w:gridCol w:w="2620"/>
      </w:tblGrid>
      <w:tr>
        <w:tc>
          <w:tcPr>
            <w:tcW w:type="dxa" w:w="2620"/>
            <w:shd w:fill="D9EAF7"/>
          </w:tcPr>
          <w:p>
            <w:pPr>
              <w:jc w:val="center"/>
            </w:pPr>
            <w:r>
              <w:rPr>
                <w:rFonts w:ascii="Cambria" w:hAnsi="Cambria" w:eastAsia="Cambria"/>
                <w:b/>
                <w:i w:val="0"/>
                <w:color w:val="1F4E79"/>
                <w:sz w:val="18"/>
              </w:rPr>
              <w:t>Người lập</w:t>
              <w:br/>
              <w:t>Learning Partner</w:t>
            </w:r>
          </w:p>
        </w:tc>
        <w:tc>
          <w:tcPr>
            <w:tcW w:type="dxa" w:w="2620"/>
            <w:shd w:fill="D9EAF7"/>
          </w:tcPr>
          <w:p>
            <w:pPr>
              <w:jc w:val="center"/>
            </w:pPr>
            <w:r>
              <w:rPr>
                <w:rFonts w:ascii="Cambria" w:hAnsi="Cambria" w:eastAsia="Cambria"/>
                <w:b/>
                <w:i w:val="0"/>
                <w:color w:val="1F4E79"/>
                <w:sz w:val="18"/>
              </w:rPr>
              <w:t>Rà soát</w:t>
              <w:br/>
              <w:t>Giám đốc L&amp;D</w:t>
            </w:r>
          </w:p>
        </w:tc>
        <w:tc>
          <w:tcPr>
            <w:tcW w:type="dxa" w:w="2620"/>
            <w:shd w:fill="D9EAF7"/>
          </w:tcPr>
          <w:p>
            <w:pPr>
              <w:jc w:val="center"/>
            </w:pPr>
            <w:r>
              <w:rPr>
                <w:rFonts w:ascii="Cambria" w:hAnsi="Cambria" w:eastAsia="Cambria"/>
                <w:b/>
                <w:i w:val="0"/>
                <w:color w:val="1F4E79"/>
                <w:sz w:val="18"/>
              </w:rPr>
              <w:t>Xác nhận dữ liệu</w:t>
              <w:br/>
              <w:t>Finance BP</w:t>
            </w:r>
          </w:p>
        </w:tc>
        <w:tc>
          <w:tcPr>
            <w:tcW w:type="dxa" w:w="2620"/>
            <w:shd w:fill="D9EAF7"/>
          </w:tcPr>
          <w:p>
            <w:pPr>
              <w:jc w:val="center"/>
            </w:pPr>
            <w:r>
              <w:rPr>
                <w:rFonts w:ascii="Cambria" w:hAnsi="Cambria" w:eastAsia="Cambria"/>
                <w:b/>
                <w:i w:val="0"/>
                <w:color w:val="1F4E79"/>
                <w:sz w:val="18"/>
              </w:rPr>
              <w:t>Phê duyệt</w:t>
              <w:br/>
              <w:t>CHRO</w:t>
            </w:r>
          </w:p>
        </w:tc>
      </w:tr>
      <w:tr>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r>
    </w:tbl>
    <w:sectPr w:rsidR="00FC693F" w:rsidRPr="0006063C" w:rsidSect="00034616">
      <w:headerReference w:type="default" r:id="rId9"/>
      <w:footerReference w:type="default" r:id="rId10"/>
      <w:pgSz w:w="12240" w:h="15840"/>
      <w:pgMar w:top="879" w:right="879" w:bottom="87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Cambria" w:hAnsi="Cambria" w:eastAsia="Cambria"/>
        <w:b/>
        <w:i w:val="0"/>
        <w:color w:val="1F4E79"/>
        <w:sz w:val="20"/>
      </w:rPr>
      <w:t>TÀI LIỆU CỦA HỌC VIỆN MASTERSKILLS</w:t>
      <w:br/>
    </w:r>
    <w:r>
      <w:rPr>
        <w:rFonts w:ascii="Cambria" w:hAnsi="Cambria" w:eastAsia="Cambria"/>
        <w:b w:val="0"/>
        <w:i w:val="0"/>
        <w:color w:val="1F4E79"/>
        <w:sz w:val="20"/>
      </w:rPr>
      <w:t>Website: www.Masterskills.org | Email: info@Masterskills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Cambria" w:hAnsi="Cambria" w:eastAsia="Cambria"/>
        <w:b/>
        <w:i w:val="0"/>
        <w:color w:val="1F4E79"/>
        <w:sz w:val="20"/>
      </w:rPr>
      <w:t>MASTERSKILLS</w:t>
      <w:br/>
    </w:r>
    <w:r>
      <w:rPr>
        <w:rFonts w:ascii="Cambria" w:hAnsi="Cambria" w:eastAsia="Cambria"/>
        <w:b w:val="0"/>
        <w:i w:val="0"/>
        <w:color w:val="1F4E79"/>
        <w:sz w:val="20"/>
      </w:rPr>
      <w:t>BÁO CÁO KẾT QUẢ ĐÀO TẠO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val="bestFit"/>
  <w:proofState w:spelling="clean" w:grammar="clean"/>
  <w:defaultTabStop w:val="720"/>
  <w:characterSpacingControl w:val="doNotCompress"/>
  <w:savePreviewPicture/>
  <w:compat>
    <w:useFELayout/>
    <w:compatSetting w:name="compatibilityMode" w:uri="http://schemas.microsoft.com/office/word" w:val="12"/>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mbria" w:hAnsi="Cambria" w:eastAsia="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Cambria" w:hAnsi="Cambria" w:eastAsia="Cambria"/>
      <w:b/>
      <w:bCs/>
      <w:color w:val="4472C4"/>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Cambria" w:hAnsi="Cambria" w:eastAsia="Cambria"/>
      <w:b/>
      <w:bCs/>
      <w:color w:val="4472C4"/>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mbria" w:hAnsi="Cambria" w:eastAsia="Cambria"/>
      <w:b/>
      <w:bCs/>
      <w:color w:val="4472C4"/>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eastAsia="Cambria"/>
      <w:b/>
      <w:color w:val="4472C4"/>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LinksUpToDate>false</LinksUpToDate>
  <CharactersWithSpaces>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2013-12-23T23:15:00Z</dcterms:created>
  <dcterms:modified xsi:type="dcterms:W3CDTF">2013-12-23T23:15:00Z</dcterms:modified>
  <cp:category/>
</cp:coreProperties>
</file>