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60" w:after="80" w:line="240" w:lineRule="auto"/>
        <w:jc w:val="center"/>
      </w:pPr>
      <w:r>
        <w:rPr>
          <w:rFonts w:ascii="Cambria" w:hAnsi="Cambria" w:eastAsia="Cambria"/>
          <w:b/>
          <w:i w:val="0"/>
          <w:color w:val="1F4E79"/>
          <w:sz w:val="36"/>
        </w:rPr>
        <w:t>CHÍNH SÁCH VÀ QUY TRÌNH ĐÀO TẠO</w:t>
      </w:r>
    </w:p>
    <w:p>
      <w:pPr>
        <w:keepNext w:val="0"/>
        <w:spacing w:before="0" w:after="80" w:line="259" w:lineRule="auto"/>
        <w:jc w:val="center"/>
      </w:pPr>
      <w:r>
        <w:rPr>
          <w:rFonts w:ascii="Cambria" w:hAnsi="Cambria" w:eastAsia="Cambria"/>
          <w:b/>
          <w:i w:val="0"/>
          <w:color w:val="333333"/>
          <w:sz w:val="22"/>
        </w:rPr>
        <w:t>Áp dụng tại CÔNG TY CỔ PHẦN THIẾT BỊ CÔNG NGHIỆP ĐẠI VIỆT (DAVIMEC)</w:t>
      </w:r>
    </w:p>
    <w:p>
      <w:pPr>
        <w:keepNext w:val="0"/>
        <w:spacing w:before="0" w:after="160" w:line="259" w:lineRule="auto"/>
        <w:jc w:val="center"/>
      </w:pPr>
      <w:r>
        <w:rPr>
          <w:rFonts w:ascii="Cambria" w:hAnsi="Cambria" w:eastAsia="Cambria"/>
          <w:b w:val="0"/>
          <w:i/>
          <w:color w:val="666666"/>
          <w:sz w:val="19"/>
        </w:rPr>
        <w:t>Mã tài liệu: POL-LD-01 | Phiên bản 1.0 | Hiệu lực: 01/01/2026 | Chu kỳ rà soát: Hằng năm</w:t>
      </w:r>
    </w:p>
    <w:tbl>
      <w:tblPr>
        <w:tblW w:type="auto" w:w="0"/>
        <w:jc w:val="center"/>
        <w:tblLayout w:type="autofit"/>
        <w:tblLook w:firstColumn="1" w:firstRow="1" w:lastColumn="0" w:lastRow="0" w:noHBand="0" w:noVBand="1" w:val="04A0"/>
      </w:tblPr>
      <w:tblGrid>
        <w:gridCol w:w="10482"/>
      </w:tblGrid>
      <w:tr>
        <w:tc>
          <w:tcPr>
            <w:tcW w:type="dxa" w:w="10482"/>
            <w:shd w:fill="1F4E79"/>
          </w:tcPr>
          <w:p>
            <w:r>
              <w:t xml:space="preserve"> </w:t>
            </w:r>
          </w:p>
        </w:tc>
      </w:tr>
    </w:tbl>
    <w:tbl>
      <w:tblPr>
        <w:tblW w:type="auto" w:w="0"/>
        <w:jc w:val="center"/>
        <w:tblLayout w:type="fixed"/>
        <w:tblLook w:firstColumn="1" w:firstRow="1" w:lastColumn="0" w:lastRow="0" w:noHBand="0" w:noVBand="1" w:val="04A0"/>
      </w:tblPr>
      <w:tblGrid>
        <w:gridCol w:w="1814"/>
        <w:gridCol w:w="8220"/>
      </w:tblGrid>
      <w:tr>
        <w:tc>
          <w:tcPr>
            <w:tcW w:type="dxa" w:w="5241"/>
            <w:shd w:fill="1F4E79"/>
            <w:tcMar>
              <w:top w:w="100" w:type="dxa"/>
              <w:left w:w="110" w:type="dxa"/>
              <w:bottom w:w="100" w:type="dxa"/>
              <w:right w:w="110" w:type="dxa"/>
            </w:tcMar>
            <w:vAlign w:val="center"/>
          </w:tcPr>
          <w:p>
            <w:pPr>
              <w:jc w:val="center"/>
            </w:pPr>
            <w:r>
              <w:rPr>
                <w:rFonts w:ascii="Cambria" w:hAnsi="Cambria" w:eastAsia="Cambria"/>
                <w:b/>
                <w:i w:val="0"/>
                <w:color w:val="FFFFFF"/>
                <w:sz w:val="20"/>
              </w:rPr>
              <w:t>MỤC ĐÍCH</w:t>
              <w:br/>
              <w:t>SỬ DỤNG</w:t>
            </w:r>
          </w:p>
        </w:tc>
        <w:tc>
          <w:tcPr>
            <w:tcW w:type="dxa" w:w="5241"/>
            <w:shd w:fill="EEF4F8"/>
            <w:tcMar>
              <w:top w:w="100" w:type="dxa"/>
              <w:left w:w="110" w:type="dxa"/>
              <w:bottom w:w="100" w:type="dxa"/>
              <w:right w:w="110" w:type="dxa"/>
            </w:tcMar>
            <w:vAlign w:val="center"/>
          </w:tcPr>
          <w:p>
            <w:pPr>
              <w:keepNext w:val="0"/>
              <w:spacing w:before="0" w:after="0" w:line="259" w:lineRule="auto"/>
            </w:pPr>
            <w:r>
              <w:rPr>
                <w:rFonts w:ascii="Cambria" w:hAnsi="Cambria" w:eastAsia="Cambria"/>
                <w:b w:val="0"/>
                <w:i w:val="0"/>
                <w:color w:val="333333"/>
                <w:sz w:val="20"/>
              </w:rPr>
              <w:t>Thiết lập nguyên tắc, thẩm quyền, trách nhiệm, quy trình, tiêu chí kiểm soát và hồ sơ bắt buộc để quản lý thống nhất hoạt động đào tạo và phát triển nhân sự trên toàn DAVIMEC.</w:t>
            </w:r>
          </w:p>
        </w:tc>
      </w:tr>
    </w:tbl>
    <w:p>
      <w:pPr>
        <w:pStyle w:val="Heading1"/>
      </w:pPr>
      <w:r>
        <w:t>1. Mục đích và phạm vi</w:t>
      </w:r>
    </w:p>
    <w:p>
      <w:pPr>
        <w:pStyle w:val="ListBullet"/>
        <w:spacing w:after="40"/>
        <w:ind w:left="312" w:hanging="142"/>
      </w:pPr>
      <w:r>
        <w:rPr>
          <w:rFonts w:ascii="Cambria" w:hAnsi="Cambria" w:eastAsia="Cambria"/>
          <w:b w:val="0"/>
          <w:i w:val="0"/>
          <w:color w:val="333333"/>
          <w:sz w:val="20"/>
        </w:rPr>
        <w:t>Bảo đảm hoạt động đào tạo xuất phát từ nhu cầu kinh doanh, yêu cầu năng lực, rủi ro tuân thủ và kế hoạch nhân sự.</w:t>
      </w:r>
    </w:p>
    <w:p>
      <w:pPr>
        <w:pStyle w:val="ListBullet"/>
        <w:spacing w:after="40"/>
        <w:ind w:left="312" w:hanging="142"/>
      </w:pPr>
      <w:r>
        <w:rPr>
          <w:rFonts w:ascii="Cambria" w:hAnsi="Cambria" w:eastAsia="Cambria"/>
          <w:b w:val="0"/>
          <w:i w:val="0"/>
          <w:color w:val="333333"/>
          <w:sz w:val="20"/>
        </w:rPr>
        <w:t>Quản lý minh bạch ngân sách, nhà cung cấp, học viên, kết quả và bằng chứng đào tạo.</w:t>
      </w:r>
    </w:p>
    <w:p>
      <w:pPr>
        <w:pStyle w:val="ListBullet"/>
        <w:spacing w:after="40"/>
        <w:ind w:left="312" w:hanging="142"/>
      </w:pPr>
      <w:r>
        <w:rPr>
          <w:rFonts w:ascii="Cambria" w:hAnsi="Cambria" w:eastAsia="Cambria"/>
          <w:b w:val="0"/>
          <w:i w:val="0"/>
          <w:color w:val="333333"/>
          <w:sz w:val="20"/>
        </w:rPr>
        <w:t>Áp dụng cho toàn bộ nhân viên, người lao động thử việc, quản lý, giảng viên nội bộ và nhà cung cấp đào tạo tại mọi địa điểm của DAVIMEC.</w:t>
      </w:r>
    </w:p>
    <w:p>
      <w:pPr>
        <w:pStyle w:val="ListBullet"/>
        <w:spacing w:after="40"/>
        <w:ind w:left="312" w:hanging="142"/>
      </w:pPr>
      <w:r>
        <w:rPr>
          <w:rFonts w:ascii="Cambria" w:hAnsi="Cambria" w:eastAsia="Cambria"/>
          <w:b w:val="0"/>
          <w:i w:val="0"/>
          <w:color w:val="333333"/>
          <w:sz w:val="20"/>
        </w:rPr>
        <w:t>Bao gồm đào tạo nội bộ, thuê ngoài, e-learning, coaching, chứng nhận nghề, hội thảo và chương trình phát triển dài hạn.</w:t>
      </w:r>
    </w:p>
    <w:p>
      <w:pPr>
        <w:pStyle w:val="Heading1"/>
      </w:pPr>
      <w:r>
        <w:t>2. Nguyên tắc quản trị</w:t>
      </w:r>
    </w:p>
    <w:tbl>
      <w:tblPr>
        <w:tblW w:type="auto" w:w="0"/>
        <w:jc w:val="center"/>
        <w:tblLayout w:type="fixed"/>
        <w:tblLook w:firstColumn="1" w:firstRow="1" w:lastColumn="0" w:lastRow="0" w:noHBand="0" w:noVBand="1" w:val="04A0"/>
      </w:tblPr>
      <w:tblGrid>
        <w:gridCol w:w="5241"/>
        <w:gridCol w:w="5241"/>
      </w:tblGrid>
      <w:tr>
        <w:trPr>
          <w:tblHeader w:val="true"/>
          <w:cantSplit/>
        </w:trPr>
        <w:tc>
          <w:tcPr>
            <w:tcW w:type="dxa" w:w="2721"/>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Nguyên tắc</w:t>
            </w:r>
          </w:p>
        </w:tc>
        <w:tc>
          <w:tcPr>
            <w:tcW w:type="dxa" w:w="7313"/>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Yêu cầu áp dụng</w:t>
            </w:r>
          </w:p>
        </w:tc>
      </w:tr>
      <w:tr>
        <w:trPr>
          <w:cantSplit/>
        </w:trPr>
        <w:tc>
          <w:tcPr>
            <w:tcW w:type="dxa" w:w="272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Liên kết chiến lược</w:t>
            </w:r>
          </w:p>
        </w:tc>
        <w:tc>
          <w:tcPr>
            <w:tcW w:type="dxa" w:w="731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Mỗi chương trình phải chỉ rõ năng lực/KPI/vấn đề kinh doanh cần tác động.</w:t>
            </w:r>
          </w:p>
        </w:tc>
      </w:tr>
      <w:tr>
        <w:trPr>
          <w:cantSplit/>
        </w:trPr>
        <w:tc>
          <w:tcPr>
            <w:tcW w:type="dxa" w:w="272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Ưu tiên theo rủi ro và tác động</w:t>
            </w:r>
          </w:p>
        </w:tc>
        <w:tc>
          <w:tcPr>
            <w:tcW w:type="dxa" w:w="731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Nhu cầu tuân thủ, an toàn, chất lượng và vị trí trọng yếu được ưu tiên.</w:t>
            </w:r>
          </w:p>
        </w:tc>
      </w:tr>
      <w:tr>
        <w:trPr>
          <w:cantSplit/>
        </w:trPr>
        <w:tc>
          <w:tcPr>
            <w:tcW w:type="dxa" w:w="272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Bình đẳng tiếp cận</w:t>
            </w:r>
          </w:p>
        </w:tc>
        <w:tc>
          <w:tcPr>
            <w:tcW w:type="dxa" w:w="731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Lựa chọn học viên dựa trên vai trò, nhu cầu và tiêu chí minh bạch; không phân biệt.</w:t>
            </w:r>
          </w:p>
        </w:tc>
      </w:tr>
      <w:tr>
        <w:trPr>
          <w:cantSplit/>
        </w:trPr>
        <w:tc>
          <w:tcPr>
            <w:tcW w:type="dxa" w:w="272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Trách nhiệm đồng sở hữu</w:t>
            </w:r>
          </w:p>
        </w:tc>
        <w:tc>
          <w:tcPr>
            <w:tcW w:type="dxa" w:w="731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L&amp;D thiết kế hệ thống; quản lý đơn vị chịu trách nhiệm tạo điều kiện áp dụng.</w:t>
            </w:r>
          </w:p>
        </w:tc>
      </w:tr>
      <w:tr>
        <w:trPr>
          <w:cantSplit/>
        </w:trPr>
        <w:tc>
          <w:tcPr>
            <w:tcW w:type="dxa" w:w="272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Đo lường phù hợp</w:t>
            </w:r>
          </w:p>
        </w:tc>
        <w:tc>
          <w:tcPr>
            <w:tcW w:type="dxa" w:w="731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Chương trình trọng yếu phải đánh giá tối thiểu cấp độ 2; chương trình &gt;300 triệu đồng phải đánh giá cấp độ 3–4.</w:t>
            </w:r>
          </w:p>
        </w:tc>
      </w:tr>
      <w:tr>
        <w:trPr>
          <w:cantSplit/>
        </w:trPr>
        <w:tc>
          <w:tcPr>
            <w:tcW w:type="dxa" w:w="272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Quản lý dữ liệu</w:t>
            </w:r>
          </w:p>
        </w:tc>
        <w:tc>
          <w:tcPr>
            <w:tcW w:type="dxa" w:w="731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Hồ sơ phải đầy đủ, chính xác, bảo mật và lưu trên LMS/DMS theo thời hạn.</w:t>
            </w:r>
          </w:p>
        </w:tc>
      </w:tr>
    </w:tbl>
    <w:p>
      <w:pPr>
        <w:pStyle w:val="Heading1"/>
      </w:pPr>
      <w:r>
        <w:t>3. Vai trò và trách nhiệm (RACI)</w:t>
      </w:r>
    </w:p>
    <w:tbl>
      <w:tblPr>
        <w:tblW w:type="auto" w:w="0"/>
        <w:jc w:val="center"/>
        <w:tblLayout w:type="fixed"/>
        <w:tblLook w:firstColumn="1" w:firstRow="1" w:lastColumn="0" w:lastRow="0" w:noHBand="0" w:noVBand="1" w:val="04A0"/>
      </w:tblPr>
      <w:tblGrid>
        <w:gridCol w:w="1747"/>
        <w:gridCol w:w="1747"/>
        <w:gridCol w:w="1747"/>
        <w:gridCol w:w="1747"/>
        <w:gridCol w:w="1747"/>
        <w:gridCol w:w="1747"/>
      </w:tblGrid>
      <w:tr>
        <w:trPr>
          <w:tblHeader w:val="true"/>
          <w:cantSplit/>
        </w:trPr>
        <w:tc>
          <w:tcPr>
            <w:tcW w:type="dxa" w:w="2835"/>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Hoạt động</w:t>
            </w:r>
          </w:p>
        </w:tc>
        <w:tc>
          <w:tcPr>
            <w:tcW w:type="dxa" w:w="1304"/>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L&amp;D</w:t>
            </w:r>
          </w:p>
        </w:tc>
        <w:tc>
          <w:tcPr>
            <w:tcW w:type="dxa" w:w="1871"/>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Quản lý đơn vị</w:t>
            </w:r>
          </w:p>
        </w:tc>
        <w:tc>
          <w:tcPr>
            <w:tcW w:type="dxa" w:w="1417"/>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Finance</w:t>
            </w:r>
          </w:p>
        </w:tc>
        <w:tc>
          <w:tcPr>
            <w:tcW w:type="dxa" w:w="1304"/>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HRBP</w:t>
            </w:r>
          </w:p>
        </w:tc>
        <w:tc>
          <w:tcPr>
            <w:tcW w:type="dxa" w:w="1304"/>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Học viên</w:t>
            </w:r>
          </w:p>
        </w:tc>
      </w:tr>
      <w:tr>
        <w:trPr>
          <w:cantSplit/>
        </w:trPr>
        <w:tc>
          <w:tcPr>
            <w:tcW w:type="dxa" w:w="283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Xác định nhu cầu</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A/R</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R/C</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r>
      <w:tr>
        <w:trPr>
          <w:cantSplit/>
        </w:trPr>
        <w:tc>
          <w:tcPr>
            <w:tcW w:type="dxa" w:w="283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Lập kế hoạch và ngân sách</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A/R</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41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I</w:t>
            </w:r>
          </w:p>
        </w:tc>
      </w:tr>
      <w:tr>
        <w:trPr>
          <w:cantSplit/>
        </w:trPr>
        <w:tc>
          <w:tcPr>
            <w:tcW w:type="dxa" w:w="283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Phê duyệt chương trình</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A/C</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C/A theo ngưỡng</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I</w:t>
            </w:r>
          </w:p>
        </w:tc>
      </w:tr>
      <w:tr>
        <w:trPr>
          <w:cantSplit/>
        </w:trPr>
        <w:tc>
          <w:tcPr>
            <w:tcW w:type="dxa" w:w="283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Tổ chức và ghi nhận hồ sơ</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A/R</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41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I</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I</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w:t>
            </w:r>
          </w:p>
        </w:tc>
      </w:tr>
      <w:tr>
        <w:trPr>
          <w:cantSplit/>
        </w:trPr>
        <w:tc>
          <w:tcPr>
            <w:tcW w:type="dxa" w:w="283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Đánh giá chuyển giao</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A/R</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w:t>
            </w:r>
          </w:p>
        </w:tc>
      </w:tr>
      <w:tr>
        <w:trPr>
          <w:cantSplit/>
        </w:trPr>
        <w:tc>
          <w:tcPr>
            <w:tcW w:type="dxa" w:w="283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Đánh giá ROI</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c>
          <w:tcPr>
            <w:tcW w:type="dxa" w:w="141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A/R</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I</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w:t>
            </w:r>
          </w:p>
        </w:tc>
      </w:tr>
    </w:tbl>
    <w:tbl>
      <w:tblPr>
        <w:tblW w:type="auto" w:w="0"/>
        <w:tblLook w:firstColumn="1" w:firstRow="1" w:lastColumn="0" w:lastRow="0" w:noHBand="0" w:noVBand="1" w:val="04A0"/>
      </w:tblPr>
      <w:tblGrid>
        <w:gridCol w:w="10482"/>
      </w:tblGrid>
      <w:tr>
        <w:tc>
          <w:tcPr>
            <w:tcW w:type="dxa" w:w="10482"/>
            <w:shd w:fill="DDEBF7"/>
            <w:tcMar>
              <w:top w:w="90" w:type="dxa"/>
              <w:left w:w="100" w:type="dxa"/>
              <w:bottom w:w="90" w:type="dxa"/>
              <w:right w:w="100" w:type="dxa"/>
            </w:tcMar>
            <w:tcBorders>
              <w:top w:val="single" w:sz="8" w:color="5B9BD5"/>
              <w:left w:val="single" w:sz="8" w:color="5B9BD5"/>
              <w:bottom w:val="single" w:sz="8" w:color="5B9BD5"/>
              <w:right w:val="single" w:sz="8" w:color="5B9BD5"/>
            </w:tcBorders>
          </w:tcPr>
          <w:p>
            <w:pPr>
              <w:keepNext w:val="0"/>
              <w:spacing w:before="0" w:after="0" w:line="259" w:lineRule="auto"/>
            </w:pPr>
            <w:r>
              <w:rPr>
                <w:rFonts w:ascii="Cambria" w:hAnsi="Cambria" w:eastAsia="Cambria"/>
                <w:b w:val="0"/>
                <w:i w:val="0"/>
                <w:color w:val="333333"/>
                <w:sz w:val="19"/>
              </w:rPr>
              <w:t>Ký hiệu: R = Thực hiện; A = Chịu trách nhiệm cuối cùng; C = Tham vấn; I = Được thông tin.</w:t>
            </w:r>
          </w:p>
        </w:tc>
      </w:tr>
    </w:tbl>
    <w:p>
      <w:pPr>
        <w:pStyle w:val="Heading1"/>
      </w:pPr>
      <w:r>
        <w:t>4. Quy trình quản lý đào tạo</w:t>
      </w:r>
    </w:p>
    <w:p>
      <w:pPr>
        <w:keepNext w:val="0"/>
        <w:spacing w:before="40" w:after="40" w:line="259" w:lineRule="auto"/>
        <w:jc w:val="center"/>
      </w:pPr>
      <w:r>
        <w:drawing>
          <wp:inline xmlns:a="http://schemas.openxmlformats.org/drawingml/2006/main" xmlns:pic="http://schemas.openxmlformats.org/drawingml/2006/picture">
            <wp:extent cx="6192000" cy="2064948"/>
            <wp:docPr id="1" name="Picture 1"/>
            <wp:cNvGraphicFramePr>
              <a:graphicFrameLocks noChangeAspect="1"/>
            </wp:cNvGraphicFramePr>
            <a:graphic>
              <a:graphicData uri="http://schemas.openxmlformats.org/drawingml/2006/picture">
                <pic:pic>
                  <pic:nvPicPr>
                    <pic:cNvPr id="0" name="policy_process_flow.png"/>
                    <pic:cNvPicPr/>
                  </pic:nvPicPr>
                  <pic:blipFill>
                    <a:blip r:embed="rId11"/>
                    <a:stretch>
                      <a:fillRect/>
                    </a:stretch>
                  </pic:blipFill>
                  <pic:spPr>
                    <a:xfrm>
                      <a:off x="0" y="0"/>
                      <a:ext cx="6192000" cy="2064948"/>
                    </a:xfrm>
                    <a:prstGeom prst="rect"/>
                  </pic:spPr>
                </pic:pic>
              </a:graphicData>
            </a:graphic>
          </wp:inline>
        </w:drawing>
      </w:r>
    </w:p>
    <w:p>
      <w:pPr>
        <w:keepNext w:val="0"/>
        <w:spacing w:before="0" w:after="80" w:line="259" w:lineRule="auto"/>
        <w:jc w:val="center"/>
      </w:pPr>
      <w:r>
        <w:rPr>
          <w:rFonts w:ascii="Cambria" w:hAnsi="Cambria" w:eastAsia="Cambria"/>
          <w:b w:val="0"/>
          <w:i/>
          <w:color w:val="666666"/>
          <w:sz w:val="17"/>
        </w:rPr>
        <w:t>Quy trình chuẩn theo chu kỳ PDCA</w:t>
      </w:r>
    </w:p>
    <w:tbl>
      <w:tblPr>
        <w:tblW w:type="auto" w:w="0"/>
        <w:jc w:val="center"/>
        <w:tblLayout w:type="fixed"/>
        <w:tblLook w:firstColumn="1" w:firstRow="1" w:lastColumn="0" w:lastRow="0" w:noHBand="0" w:noVBand="1" w:val="04A0"/>
      </w:tblPr>
      <w:tblGrid>
        <w:gridCol w:w="2096"/>
        <w:gridCol w:w="2096"/>
        <w:gridCol w:w="2096"/>
        <w:gridCol w:w="2096"/>
        <w:gridCol w:w="2096"/>
      </w:tblGrid>
      <w:tr>
        <w:trPr>
          <w:tblHeader w:val="true"/>
          <w:cantSplit/>
        </w:trPr>
        <w:tc>
          <w:tcPr>
            <w:tcW w:type="dxa" w:w="1814"/>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Bước</w:t>
            </w:r>
          </w:p>
        </w:tc>
        <w:tc>
          <w:tcPr>
            <w:tcW w:type="dxa" w:w="2381"/>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Đầu vào chính</w:t>
            </w:r>
          </w:p>
        </w:tc>
        <w:tc>
          <w:tcPr>
            <w:tcW w:type="dxa" w:w="3061"/>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Hoạt động kiểm soát</w:t>
            </w:r>
          </w:p>
        </w:tc>
        <w:tc>
          <w:tcPr>
            <w:tcW w:type="dxa" w:w="2154"/>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Đầu ra/Hồ sơ</w:t>
            </w:r>
          </w:p>
        </w:tc>
        <w:tc>
          <w:tcPr>
            <w:tcW w:type="dxa" w:w="1134"/>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SLA</w:t>
            </w:r>
          </w:p>
        </w:tc>
      </w:tr>
      <w:tr>
        <w:trPr>
          <w:cantSplit/>
        </w:trPr>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Xác định nhu cầu</w:t>
            </w:r>
          </w:p>
        </w:tc>
        <w:tc>
          <w:tcPr>
            <w:tcW w:type="dxa" w:w="238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KPI, năng lực, audit, chiến lược</w:t>
            </w:r>
          </w:p>
        </w:tc>
        <w:tc>
          <w:tcPr>
            <w:tcW w:type="dxa" w:w="30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Chấm điểm khoảng cách, tác động, khẩn cấp, tuân thủ</w:t>
            </w:r>
          </w:p>
        </w:tc>
        <w:tc>
          <w:tcPr>
            <w:tcW w:type="dxa" w:w="215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Phiếu TNA; danh mục ưu tiên</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Trước 31/10</w:t>
            </w:r>
          </w:p>
        </w:tc>
      </w:tr>
      <w:tr>
        <w:trPr>
          <w:cantSplit/>
        </w:trPr>
        <w:tc>
          <w:tcPr>
            <w:tcW w:type="dxa" w:w="181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2. Lập kế hoạch</w:t>
            </w:r>
          </w:p>
        </w:tc>
        <w:tc>
          <w:tcPr>
            <w:tcW w:type="dxa" w:w="238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TNA được xác nhận; ngân sách khung</w:t>
            </w:r>
          </w:p>
        </w:tc>
        <w:tc>
          <w:tcPr>
            <w:tcW w:type="dxa" w:w="30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Xác định giải pháp, lịch, đối tượng, chi phí</w:t>
            </w:r>
          </w:p>
        </w:tc>
        <w:tc>
          <w:tcPr>
            <w:tcW w:type="dxa" w:w="215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Kế hoạch đào tạo tổng hợp</w:t>
            </w:r>
          </w:p>
        </w:tc>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Trước 30/11</w:t>
            </w:r>
          </w:p>
        </w:tc>
      </w:tr>
      <w:tr>
        <w:trPr>
          <w:cantSplit/>
        </w:trPr>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3. Thẩm định &amp; phê duyệt</w:t>
            </w:r>
          </w:p>
        </w:tc>
        <w:tc>
          <w:tcPr>
            <w:tcW w:type="dxa" w:w="238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Hồ sơ chương trình, báo giá</w:t>
            </w:r>
          </w:p>
        </w:tc>
        <w:tc>
          <w:tcPr>
            <w:tcW w:type="dxa" w:w="30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Business case, nhà cung cấp, ngân sách, rủi ro</w:t>
            </w:r>
          </w:p>
        </w:tc>
        <w:tc>
          <w:tcPr>
            <w:tcW w:type="dxa" w:w="215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Phiếu phê duyệt</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05–10 ngày</w:t>
            </w:r>
          </w:p>
        </w:tc>
      </w:tr>
      <w:tr>
        <w:trPr>
          <w:cantSplit/>
        </w:trPr>
        <w:tc>
          <w:tcPr>
            <w:tcW w:type="dxa" w:w="181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4. Tổ chức</w:t>
            </w:r>
          </w:p>
        </w:tc>
        <w:tc>
          <w:tcPr>
            <w:tcW w:type="dxa" w:w="238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Kế hoạch/phê duyệt</w:t>
            </w:r>
          </w:p>
        </w:tc>
        <w:tc>
          <w:tcPr>
            <w:tcW w:type="dxa" w:w="30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Checklist, thông báo, điểm danh, đánh giá</w:t>
            </w:r>
          </w:p>
        </w:tc>
        <w:tc>
          <w:tcPr>
            <w:tcW w:type="dxa" w:w="215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Danh sách, biên bản, chứng từ</w:t>
            </w:r>
          </w:p>
        </w:tc>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Theo lịch</w:t>
            </w:r>
          </w:p>
        </w:tc>
      </w:tr>
      <w:tr>
        <w:trPr>
          <w:cantSplit/>
        </w:trPr>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5. Đánh giá kết quả</w:t>
            </w:r>
          </w:p>
        </w:tc>
        <w:tc>
          <w:tcPr>
            <w:tcW w:type="dxa" w:w="238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Điểm danh, bài test, phản hồi</w:t>
            </w:r>
          </w:p>
        </w:tc>
        <w:tc>
          <w:tcPr>
            <w:tcW w:type="dxa" w:w="30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Kirkpatrick 1–2; chi phí; hoàn thành</w:t>
            </w:r>
          </w:p>
        </w:tc>
        <w:tc>
          <w:tcPr>
            <w:tcW w:type="dxa" w:w="215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Báo cáo kết quả</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 10 ngày</w:t>
            </w:r>
          </w:p>
        </w:tc>
      </w:tr>
      <w:tr>
        <w:trPr>
          <w:cantSplit/>
        </w:trPr>
        <w:tc>
          <w:tcPr>
            <w:tcW w:type="dxa" w:w="181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6. Đo hiệu quả &amp; cải tiến</w:t>
            </w:r>
          </w:p>
        </w:tc>
        <w:tc>
          <w:tcPr>
            <w:tcW w:type="dxa" w:w="238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KPI, đánh giá quản lý</w:t>
            </w:r>
          </w:p>
        </w:tc>
        <w:tc>
          <w:tcPr>
            <w:tcW w:type="dxa" w:w="30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Kirkpatrick 3–4; ROI; lessons learned</w:t>
            </w:r>
          </w:p>
        </w:tc>
        <w:tc>
          <w:tcPr>
            <w:tcW w:type="dxa" w:w="215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Phiếu hiệu quả; dashboard</w:t>
            </w:r>
          </w:p>
        </w:tc>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60–120 ngày</w:t>
            </w:r>
          </w:p>
        </w:tc>
      </w:tr>
    </w:tbl>
    <w:p>
      <w:pPr>
        <w:pStyle w:val="Heading1"/>
      </w:pPr>
      <w:r>
        <w:t>5. Tiêu chí xác định nhu cầu và ưu tiên</w:t>
      </w:r>
    </w:p>
    <w:tbl>
      <w:tblPr>
        <w:tblW w:type="auto" w:w="0"/>
        <w:jc w:val="center"/>
        <w:tblLayout w:type="fixed"/>
        <w:tblLook w:firstColumn="1" w:firstRow="1" w:lastColumn="0" w:lastRow="0" w:noHBand="0" w:noVBand="1" w:val="04A0"/>
      </w:tblPr>
      <w:tblGrid>
        <w:gridCol w:w="3494"/>
        <w:gridCol w:w="3494"/>
        <w:gridCol w:w="3494"/>
      </w:tblGrid>
      <w:tr>
        <w:trPr>
          <w:tblHeader w:val="true"/>
          <w:cantSplit/>
        </w:trPr>
        <w:tc>
          <w:tcPr>
            <w:tcW w:type="dxa" w:w="2494"/>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Tiêu chí</w:t>
            </w:r>
          </w:p>
        </w:tc>
        <w:tc>
          <w:tcPr>
            <w:tcW w:type="dxa" w:w="1757"/>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Thang điểm</w:t>
            </w:r>
          </w:p>
        </w:tc>
        <w:tc>
          <w:tcPr>
            <w:tcW w:type="dxa" w:w="5783"/>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Hướng dẫn</w:t>
            </w:r>
          </w:p>
        </w:tc>
      </w:tr>
      <w:tr>
        <w:trPr>
          <w:cantSplit/>
        </w:trPr>
        <w:tc>
          <w:tcPr>
            <w:tcW w:type="dxa" w:w="249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Khoảng cách năng lực</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1–5</w:t>
            </w:r>
          </w:p>
        </w:tc>
        <w:tc>
          <w:tcPr>
            <w:tcW w:type="dxa" w:w="578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Chênh lệch giữa mức yêu cầu và mức hiện tại.</w:t>
            </w:r>
          </w:p>
        </w:tc>
      </w:tr>
      <w:tr>
        <w:trPr>
          <w:cantSplit/>
        </w:trPr>
        <w:tc>
          <w:tcPr>
            <w:tcW w:type="dxa" w:w="249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Tác động kinh doanh</w:t>
            </w:r>
          </w:p>
        </w:tc>
        <w:tc>
          <w:tcPr>
            <w:tcW w:type="dxa" w:w="175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1–5</w:t>
            </w:r>
          </w:p>
        </w:tc>
        <w:tc>
          <w:tcPr>
            <w:tcW w:type="dxa" w:w="578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Mức ảnh hưởng đến doanh thu, chi phí, chất lượng, năng suất hoặc khách hàng.</w:t>
            </w:r>
          </w:p>
        </w:tc>
      </w:tr>
      <w:tr>
        <w:trPr>
          <w:cantSplit/>
        </w:trPr>
        <w:tc>
          <w:tcPr>
            <w:tcW w:type="dxa" w:w="249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Mức độ khẩn cấp</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1–5</w:t>
            </w:r>
          </w:p>
        </w:tc>
        <w:tc>
          <w:tcPr>
            <w:tcW w:type="dxa" w:w="578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Thời hạn cần năng lực; phụ thuộc dự án, công nghệ hoặc kế hoạch nhân sự.</w:t>
            </w:r>
          </w:p>
        </w:tc>
      </w:tr>
      <w:tr>
        <w:trPr>
          <w:cantSplit/>
        </w:trPr>
        <w:tc>
          <w:tcPr>
            <w:tcW w:type="dxa" w:w="249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Rủi ro tuân thủ</w:t>
            </w:r>
          </w:p>
        </w:tc>
        <w:tc>
          <w:tcPr>
            <w:tcW w:type="dxa" w:w="175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0 hoặc 5</w:t>
            </w:r>
          </w:p>
        </w:tc>
        <w:tc>
          <w:tcPr>
            <w:tcW w:type="dxa" w:w="578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Bắt buộc theo pháp luật, tiêu chuẩn, audit hoặc giấy phép.</w:t>
            </w:r>
          </w:p>
        </w:tc>
      </w:tr>
      <w:tr>
        <w:trPr>
          <w:cantSplit/>
        </w:trPr>
        <w:tc>
          <w:tcPr>
            <w:tcW w:type="dxa" w:w="249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Quy mô đối tượng</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Hệ số 1–3</w:t>
            </w:r>
          </w:p>
        </w:tc>
        <w:tc>
          <w:tcPr>
            <w:tcW w:type="dxa" w:w="578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Số người cần đào tạo và mức độ lan tỏa.</w:t>
            </w:r>
          </w:p>
        </w:tc>
      </w:tr>
    </w:tbl>
    <w:p>
      <w:pPr>
        <w:keepNext w:val="0"/>
        <w:spacing w:before="0" w:after="80" w:line="259" w:lineRule="auto"/>
      </w:pPr>
      <w:r>
        <w:rPr>
          <w:rFonts w:ascii="Cambria" w:hAnsi="Cambria" w:eastAsia="Cambria"/>
          <w:b w:val="0"/>
          <w:i/>
          <w:color w:val="666666"/>
          <w:sz w:val="19"/>
        </w:rPr>
        <w:t>Công thức điểm ưu tiên chuẩn: (Khoảng cách × Tác động × 2) + (Khẩn cấp × 3) + (Rủi ro tuân thủ × 5) + Hệ số quy mô.</w:t>
      </w:r>
    </w:p>
    <w:p>
      <w:pPr>
        <w:pStyle w:val="Heading1"/>
      </w:pPr>
      <w:r>
        <w:t>6. Thẩm quyền phê duyệt và quản lý ngân sách</w:t>
      </w:r>
    </w:p>
    <w:tbl>
      <w:tblPr>
        <w:tblW w:type="auto" w:w="0"/>
        <w:jc w:val="center"/>
        <w:tblLayout w:type="fixed"/>
        <w:tblLook w:firstColumn="1" w:firstRow="1" w:lastColumn="0" w:lastRow="0" w:noHBand="0" w:noVBand="1" w:val="04A0"/>
      </w:tblPr>
      <w:tblGrid>
        <w:gridCol w:w="3494"/>
        <w:gridCol w:w="3494"/>
        <w:gridCol w:w="3494"/>
      </w:tblGrid>
      <w:tr>
        <w:trPr>
          <w:tblHeader w:val="true"/>
          <w:cantSplit/>
        </w:trPr>
        <w:tc>
          <w:tcPr>
            <w:tcW w:type="dxa" w:w="3231"/>
            <w:shd w:fill="ED7D3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Giá trị/Loại chương trình</w:t>
            </w:r>
          </w:p>
        </w:tc>
        <w:tc>
          <w:tcPr>
            <w:tcW w:type="dxa" w:w="2721"/>
            <w:shd w:fill="ED7D3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Thẩm quyền phê duyệt</w:t>
            </w:r>
          </w:p>
        </w:tc>
        <w:tc>
          <w:tcPr>
            <w:tcW w:type="dxa" w:w="4082"/>
            <w:shd w:fill="ED7D3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Yêu cầu hồ sơ</w:t>
            </w:r>
          </w:p>
        </w:tc>
      </w:tr>
      <w:tr>
        <w:trPr>
          <w:cantSplit/>
        </w:trPr>
        <w:tc>
          <w:tcPr>
            <w:tcW w:type="dxa" w:w="32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50 triệu đồng</w:t>
            </w:r>
          </w:p>
        </w:tc>
        <w:tc>
          <w:tcPr>
            <w:tcW w:type="dxa" w:w="272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Giám đốc L&amp;D + Giám đốc đơn vị</w:t>
            </w:r>
          </w:p>
        </w:tc>
        <w:tc>
          <w:tcPr>
            <w:tcW w:type="dxa" w:w="408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Đề nghị, kế hoạch, báo giá/chi phí</w:t>
            </w:r>
          </w:p>
        </w:tc>
      </w:tr>
      <w:tr>
        <w:trPr>
          <w:cantSplit/>
        </w:trPr>
        <w:tc>
          <w:tcPr>
            <w:tcW w:type="dxa" w:w="32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&gt; 50 đến 300 triệu đồng</w:t>
            </w:r>
          </w:p>
        </w:tc>
        <w:tc>
          <w:tcPr>
            <w:tcW w:type="dxa" w:w="272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CHRO</w:t>
            </w:r>
          </w:p>
        </w:tc>
        <w:tc>
          <w:tcPr>
            <w:tcW w:type="dxa" w:w="408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Hồ sơ chương trình, thẩm định nhà cung cấp</w:t>
            </w:r>
          </w:p>
        </w:tc>
      </w:tr>
      <w:tr>
        <w:trPr>
          <w:cantSplit/>
        </w:trPr>
        <w:tc>
          <w:tcPr>
            <w:tcW w:type="dxa" w:w="32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&gt; 300 đến 1.000 triệu đồng</w:t>
            </w:r>
          </w:p>
        </w:tc>
        <w:tc>
          <w:tcPr>
            <w:tcW w:type="dxa" w:w="272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CHRO + CFO</w:t>
            </w:r>
          </w:p>
        </w:tc>
        <w:tc>
          <w:tcPr>
            <w:tcW w:type="dxa" w:w="408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Business case, ROI dự kiến, hợp đồng</w:t>
            </w:r>
          </w:p>
        </w:tc>
      </w:tr>
      <w:tr>
        <w:trPr>
          <w:cantSplit/>
        </w:trPr>
        <w:tc>
          <w:tcPr>
            <w:tcW w:type="dxa" w:w="32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&gt; 1.000 triệu đồng hoặc chương trình chiến lược</w:t>
            </w:r>
          </w:p>
        </w:tc>
        <w:tc>
          <w:tcPr>
            <w:tcW w:type="dxa" w:w="272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Tổng Giám đốc/Ban Điều hành</w:t>
            </w:r>
          </w:p>
        </w:tc>
        <w:tc>
          <w:tcPr>
            <w:tcW w:type="dxa" w:w="408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Đề án, ngân sách, rủi ro, cơ chế báo cáo</w:t>
            </w:r>
          </w:p>
        </w:tc>
      </w:tr>
      <w:tr>
        <w:trPr>
          <w:cantSplit/>
        </w:trPr>
        <w:tc>
          <w:tcPr>
            <w:tcW w:type="dxa" w:w="32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Đào tạo bắt buộc</w:t>
            </w:r>
          </w:p>
        </w:tc>
        <w:tc>
          <w:tcPr>
            <w:tcW w:type="dxa" w:w="272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Theo ngân sách năm; L&amp;D phê duyệt vận hành</w:t>
            </w:r>
          </w:p>
        </w:tc>
        <w:tc>
          <w:tcPr>
            <w:tcW w:type="dxa" w:w="408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Ma trận bắt buộc, danh sách, chứng chỉ</w:t>
            </w:r>
          </w:p>
        </w:tc>
      </w:tr>
    </w:tbl>
    <w:p>
      <w:pPr>
        <w:pStyle w:val="Heading1"/>
      </w:pPr>
      <w:r>
        <w:t>7. Quản lý đào tạo bắt buộc</w:t>
      </w:r>
    </w:p>
    <w:p>
      <w:pPr>
        <w:pStyle w:val="ListBullet"/>
        <w:spacing w:after="40"/>
        <w:ind w:left="312" w:hanging="142"/>
      </w:pPr>
      <w:r>
        <w:rPr>
          <w:rFonts w:ascii="Cambria" w:hAnsi="Cambria" w:eastAsia="Cambria"/>
          <w:b w:val="0"/>
          <w:i w:val="0"/>
          <w:color w:val="333333"/>
          <w:sz w:val="20"/>
        </w:rPr>
        <w:t>L&amp;D duy trì ma trận yêu cầu theo vị trí, địa điểm và mức rủi ro; chủ sở hữu chuyên môn xác định chu kỳ tái đào tạo.</w:t>
      </w:r>
    </w:p>
    <w:p>
      <w:pPr>
        <w:pStyle w:val="ListBullet"/>
        <w:spacing w:after="40"/>
        <w:ind w:left="312" w:hanging="142"/>
      </w:pPr>
      <w:r>
        <w:rPr>
          <w:rFonts w:ascii="Cambria" w:hAnsi="Cambria" w:eastAsia="Cambria"/>
          <w:b w:val="0"/>
          <w:i w:val="0"/>
          <w:color w:val="333333"/>
          <w:sz w:val="20"/>
        </w:rPr>
        <w:t>Nhân viên không hoàn thành hoặc chứng nhận hết hạn không được tiếp tục thực hiện công việc có điều kiện cho đến khi được đào tạo/đánh giá lại.</w:t>
      </w:r>
    </w:p>
    <w:p>
      <w:pPr>
        <w:pStyle w:val="ListBullet"/>
        <w:spacing w:after="40"/>
        <w:ind w:left="312" w:hanging="142"/>
      </w:pPr>
      <w:r>
        <w:rPr>
          <w:rFonts w:ascii="Cambria" w:hAnsi="Cambria" w:eastAsia="Cambria"/>
          <w:b w:val="0"/>
          <w:i w:val="0"/>
          <w:color w:val="333333"/>
          <w:sz w:val="20"/>
        </w:rPr>
        <w:t>Quản lý trực tiếp phải bảo đảm nhân sự tham dự đúng hạn; trường hợp vắng phải đăng ký lớp bù trong vòng 30 ngày.</w:t>
      </w:r>
    </w:p>
    <w:p>
      <w:pPr>
        <w:pStyle w:val="ListBullet"/>
        <w:spacing w:after="40"/>
        <w:ind w:left="312" w:hanging="142"/>
      </w:pPr>
      <w:r>
        <w:rPr>
          <w:rFonts w:ascii="Cambria" w:hAnsi="Cambria" w:eastAsia="Cambria"/>
          <w:b w:val="0"/>
          <w:i w:val="0"/>
          <w:color w:val="333333"/>
          <w:sz w:val="20"/>
        </w:rPr>
        <w:t>Tỷ lệ tuân thủ đào tạo bắt buộc là KPI cấp đơn vị; ngưỡng mục tiêu toàn công ty ≥ 98%.</w:t>
      </w:r>
    </w:p>
    <w:p>
      <w:pPr>
        <w:pStyle w:val="Heading1"/>
      </w:pPr>
      <w:r>
        <w:t>8. Quản lý nhà cung cấp và giảng viên</w:t>
      </w:r>
    </w:p>
    <w:tbl>
      <w:tblPr>
        <w:tblW w:type="auto" w:w="0"/>
        <w:jc w:val="center"/>
        <w:tblLayout w:type="fixed"/>
        <w:tblLook w:firstColumn="1" w:firstRow="1" w:lastColumn="0" w:lastRow="0" w:noHBand="0" w:noVBand="1" w:val="04A0"/>
      </w:tblPr>
      <w:tblGrid>
        <w:gridCol w:w="5241"/>
        <w:gridCol w:w="5241"/>
      </w:tblGrid>
      <w:tr>
        <w:trPr>
          <w:tblHeader w:val="true"/>
          <w:cantSplit/>
        </w:trPr>
        <w:tc>
          <w:tcPr>
            <w:tcW w:type="dxa" w:w="2665"/>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Nội dung</w:t>
            </w:r>
          </w:p>
        </w:tc>
        <w:tc>
          <w:tcPr>
            <w:tcW w:type="dxa" w:w="7370"/>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Yêu cầu tối thiểu</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Thẩm định đầu vào</w:t>
            </w:r>
          </w:p>
        </w:tc>
        <w:tc>
          <w:tcPr>
            <w:tcW w:type="dxa" w:w="737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Pháp lý, năng lực chuyên gia, kinh nghiệm ngành, phương pháp, bảo mật, báo giá.</w:t>
            </w:r>
          </w:p>
        </w:tc>
      </w:tr>
      <w:tr>
        <w:trPr>
          <w:cantSplit/>
        </w:trPr>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Ngưỡng phê duyệt</w:t>
            </w:r>
          </w:p>
        </w:tc>
        <w:tc>
          <w:tcPr>
            <w:tcW w:type="dxa" w:w="737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Điểm quy đổi ≥ 80/100; không có tiêu chí pháp lý/bảo mật dưới 70.</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Hợp đồng/SOW</w:t>
            </w:r>
          </w:p>
        </w:tc>
        <w:tc>
          <w:tcPr>
            <w:tcW w:type="dxa" w:w="737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Mục tiêu, đầu ra, lịch, phí, điều kiện nghiệm thu, quyền sở hữu tài liệu, bảo mật.</w:t>
            </w:r>
          </w:p>
        </w:tc>
      </w:tr>
      <w:tr>
        <w:trPr>
          <w:cantSplit/>
        </w:trPr>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Đánh giá sau dịch vụ</w:t>
            </w:r>
          </w:p>
        </w:tc>
        <w:tc>
          <w:tcPr>
            <w:tcW w:type="dxa" w:w="737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Chất lượng giảng viên, tổ chức, phản hồi học viên, đúng hạn, hiệu quả.</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Tái đánh giá</w:t>
            </w:r>
          </w:p>
        </w:tc>
        <w:tc>
          <w:tcPr>
            <w:tcW w:type="dxa" w:w="737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Hằng năm hoặc sau sự cố chất lượng/nghiệm thu không đạt.</w:t>
            </w:r>
          </w:p>
        </w:tc>
      </w:tr>
      <w:tr>
        <w:trPr>
          <w:cantSplit/>
        </w:trPr>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Giảng viên nội bộ</w:t>
            </w:r>
          </w:p>
        </w:tc>
        <w:tc>
          <w:tcPr>
            <w:tcW w:type="dxa" w:w="737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 chứng nhận train-the-trainer; cập nhật nội dung ít nhất hằng năm.</w:t>
            </w:r>
          </w:p>
        </w:tc>
      </w:tr>
    </w:tbl>
    <w:p>
      <w:pPr>
        <w:pStyle w:val="Heading1"/>
      </w:pPr>
      <w:r>
        <w:t>9. Đánh giá, công nhận và xử lý không hoàn thành</w:t>
      </w:r>
    </w:p>
    <w:tbl>
      <w:tblPr>
        <w:tblW w:type="auto" w:w="0"/>
        <w:jc w:val="center"/>
        <w:tblLayout w:type="fixed"/>
        <w:tblLook w:firstColumn="1" w:firstRow="1" w:lastColumn="0" w:lastRow="0" w:noHBand="0" w:noVBand="1" w:val="04A0"/>
      </w:tblPr>
      <w:tblGrid>
        <w:gridCol w:w="5241"/>
        <w:gridCol w:w="5241"/>
      </w:tblGrid>
      <w:tr>
        <w:trPr>
          <w:tblHeader w:val="true"/>
          <w:cantSplit/>
        </w:trPr>
        <w:tc>
          <w:tcPr>
            <w:tcW w:type="dxa" w:w="2608"/>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Trường hợp</w:t>
            </w:r>
          </w:p>
        </w:tc>
        <w:tc>
          <w:tcPr>
            <w:tcW w:type="dxa" w:w="7427"/>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Nguyên tắc xử lý</w:t>
            </w:r>
          </w:p>
        </w:tc>
      </w:tr>
      <w:tr>
        <w:trPr>
          <w:cantSplit/>
        </w:trPr>
        <w:tc>
          <w:tcPr>
            <w:tcW w:type="dxa" w:w="260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Hoàn thành</w:t>
            </w:r>
          </w:p>
        </w:tc>
        <w:tc>
          <w:tcPr>
            <w:tcW w:type="dxa" w:w="742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 chuyên cần, bài đánh giá và yêu cầu dự án theo hồ sơ chương trình.</w:t>
            </w:r>
          </w:p>
        </w:tc>
      </w:tr>
      <w:tr>
        <w:trPr>
          <w:cantSplit/>
        </w:trPr>
        <w:tc>
          <w:tcPr>
            <w:tcW w:type="dxa" w:w="260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Hoàn thành có điều kiện</w:t>
            </w:r>
          </w:p>
        </w:tc>
        <w:tc>
          <w:tcPr>
            <w:tcW w:type="dxa" w:w="742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Thiếu một phần yêu cầu nhưng có kế hoạch bù và thời hạn cụ thể.</w:t>
            </w:r>
          </w:p>
        </w:tc>
      </w:tr>
      <w:tr>
        <w:trPr>
          <w:cantSplit/>
        </w:trPr>
        <w:tc>
          <w:tcPr>
            <w:tcW w:type="dxa" w:w="260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Chưa hoàn thành</w:t>
            </w:r>
          </w:p>
        </w:tc>
        <w:tc>
          <w:tcPr>
            <w:tcW w:type="dxa" w:w="742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Không đạt chuyên cần/điểm tối thiểu/dự án; phải học lại hoặc đánh giá lại.</w:t>
            </w:r>
          </w:p>
        </w:tc>
      </w:tr>
      <w:tr>
        <w:trPr>
          <w:cantSplit/>
        </w:trPr>
        <w:tc>
          <w:tcPr>
            <w:tcW w:type="dxa" w:w="260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Vắng có lý do</w:t>
            </w:r>
          </w:p>
        </w:tc>
        <w:tc>
          <w:tcPr>
            <w:tcW w:type="dxa" w:w="742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Đăng ký lớp bù; chi phí phát sinh do đơn vị chịu nếu không thông báo đúng hạn.</w:t>
            </w:r>
          </w:p>
        </w:tc>
      </w:tr>
      <w:tr>
        <w:trPr>
          <w:cantSplit/>
        </w:trPr>
        <w:tc>
          <w:tcPr>
            <w:tcW w:type="dxa" w:w="260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Vắng không lý do</w:t>
            </w:r>
          </w:p>
        </w:tc>
        <w:tc>
          <w:tcPr>
            <w:tcW w:type="dxa" w:w="742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Báo cáo quản lý; xem xét chi phí và kỷ luật theo nội quy.</w:t>
            </w:r>
          </w:p>
        </w:tc>
      </w:tr>
    </w:tbl>
    <w:p>
      <w:pPr>
        <w:pStyle w:val="Heading1"/>
      </w:pPr>
      <w:r>
        <w:t>10. Quản lý hồ sơ và thời hạn lưu trữ</w:t>
      </w:r>
    </w:p>
    <w:tbl>
      <w:tblPr>
        <w:tblW w:type="auto" w:w="0"/>
        <w:jc w:val="center"/>
        <w:tblLayout w:type="fixed"/>
        <w:tblLook w:firstColumn="1" w:firstRow="1" w:lastColumn="0" w:lastRow="0" w:noHBand="0" w:noVBand="1" w:val="04A0"/>
      </w:tblPr>
      <w:tblGrid>
        <w:gridCol w:w="2620"/>
        <w:gridCol w:w="2620"/>
        <w:gridCol w:w="2620"/>
        <w:gridCol w:w="2620"/>
      </w:tblGrid>
      <w:tr>
        <w:trPr>
          <w:tblHeader w:val="true"/>
          <w:cantSplit/>
        </w:trPr>
        <w:tc>
          <w:tcPr>
            <w:tcW w:type="dxa" w:w="2948"/>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Hồ sơ</w:t>
            </w:r>
          </w:p>
        </w:tc>
        <w:tc>
          <w:tcPr>
            <w:tcW w:type="dxa" w:w="2268"/>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Nơi lưu</w:t>
            </w:r>
          </w:p>
        </w:tc>
        <w:tc>
          <w:tcPr>
            <w:tcW w:type="dxa" w:w="2041"/>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Thời hạn tối thiểu</w:t>
            </w:r>
          </w:p>
        </w:tc>
        <w:tc>
          <w:tcPr>
            <w:tcW w:type="dxa" w:w="2778"/>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Chủ sở hữu</w:t>
            </w:r>
          </w:p>
        </w:tc>
      </w:tr>
      <w:tr>
        <w:trPr>
          <w:cantSplit/>
        </w:trPr>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Phiếu TNA, kế hoạch, phê duyệt</w:t>
            </w:r>
          </w:p>
        </w:tc>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DMS/L&amp;D Folder</w:t>
            </w:r>
          </w:p>
        </w:tc>
        <w:tc>
          <w:tcPr>
            <w:tcW w:type="dxa" w:w="204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05 năm</w:t>
            </w:r>
          </w:p>
        </w:tc>
        <w:tc>
          <w:tcPr>
            <w:tcW w:type="dxa" w:w="277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L&amp;D</w:t>
            </w:r>
          </w:p>
        </w:tc>
      </w:tr>
      <w:tr>
        <w:trPr>
          <w:cantSplit/>
        </w:trPr>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Danh sách, điểm danh, điểm số</w:t>
            </w:r>
          </w:p>
        </w:tc>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LMS/DMS</w:t>
            </w:r>
          </w:p>
        </w:tc>
        <w:tc>
          <w:tcPr>
            <w:tcW w:type="dxa" w:w="204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05 năm</w:t>
            </w:r>
          </w:p>
        </w:tc>
        <w:tc>
          <w:tcPr>
            <w:tcW w:type="dxa" w:w="277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Training Coordinator</w:t>
            </w:r>
          </w:p>
        </w:tc>
      </w:tr>
      <w:tr>
        <w:trPr>
          <w:cantSplit/>
        </w:trPr>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Chứng chỉ bắt buộc</w:t>
            </w:r>
          </w:p>
        </w:tc>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LMS/Hồ sơ nhân sự</w:t>
            </w:r>
          </w:p>
        </w:tc>
        <w:tc>
          <w:tcPr>
            <w:tcW w:type="dxa" w:w="204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Theo luật + 05 năm</w:t>
            </w:r>
          </w:p>
        </w:tc>
        <w:tc>
          <w:tcPr>
            <w:tcW w:type="dxa" w:w="277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L&amp;D/HR Operations</w:t>
            </w:r>
          </w:p>
        </w:tc>
      </w:tr>
      <w:tr>
        <w:trPr>
          <w:cantSplit/>
        </w:trPr>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Hợp đồng, hóa đơn, nghiệm thu</w:t>
            </w:r>
          </w:p>
        </w:tc>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DMS/Finance</w:t>
            </w:r>
          </w:p>
        </w:tc>
        <w:tc>
          <w:tcPr>
            <w:tcW w:type="dxa" w:w="204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10 năm</w:t>
            </w:r>
          </w:p>
        </w:tc>
        <w:tc>
          <w:tcPr>
            <w:tcW w:type="dxa" w:w="277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Procurement/Finance</w:t>
            </w:r>
          </w:p>
        </w:tc>
      </w:tr>
      <w:tr>
        <w:trPr>
          <w:cantSplit/>
        </w:trPr>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Đánh giá hiệu quả và ROI</w:t>
            </w:r>
          </w:p>
        </w:tc>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DMS/Dashboard</w:t>
            </w:r>
          </w:p>
        </w:tc>
        <w:tc>
          <w:tcPr>
            <w:tcW w:type="dxa" w:w="204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05 năm</w:t>
            </w:r>
          </w:p>
        </w:tc>
        <w:tc>
          <w:tcPr>
            <w:tcW w:type="dxa" w:w="277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Learning Partner</w:t>
            </w:r>
          </w:p>
        </w:tc>
      </w:tr>
      <w:tr>
        <w:trPr>
          <w:cantSplit/>
        </w:trPr>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Dữ liệu cá nhân học viên</w:t>
            </w:r>
          </w:p>
        </w:tc>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Hệ thống được phân quyền</w:t>
            </w:r>
          </w:p>
        </w:tc>
        <w:tc>
          <w:tcPr>
            <w:tcW w:type="dxa" w:w="204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Theo chính sách bảo vệ dữ liệu</w:t>
            </w:r>
          </w:p>
        </w:tc>
        <w:tc>
          <w:tcPr>
            <w:tcW w:type="dxa" w:w="277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HRIS/L&amp;D Systems</w:t>
            </w:r>
          </w:p>
        </w:tc>
      </w:tr>
    </w:tbl>
    <w:p>
      <w:pPr>
        <w:pStyle w:val="Heading1"/>
      </w:pPr>
      <w:r>
        <w:t>11. Chỉ số quản trị tối thiểu</w:t>
      </w:r>
    </w:p>
    <w:tbl>
      <w:tblPr>
        <w:tblW w:type="auto" w:w="0"/>
        <w:jc w:val="center"/>
        <w:tblLayout w:type="fixed"/>
        <w:tblLook w:firstColumn="1" w:firstRow="1" w:lastColumn="0" w:lastRow="0" w:noHBand="0" w:noVBand="1" w:val="04A0"/>
      </w:tblPr>
      <w:tblGrid>
        <w:gridCol w:w="3494"/>
        <w:gridCol w:w="3494"/>
        <w:gridCol w:w="3494"/>
      </w:tblGrid>
      <w:tr>
        <w:tc>
          <w:tcPr>
            <w:tcW w:type="dxa" w:w="3494"/>
            <w:tcMar>
              <w:top w:w="100" w:type="dxa"/>
              <w:left w:w="80" w:type="dxa"/>
              <w:bottom w:w="100" w:type="dxa"/>
              <w:right w:w="80" w:type="dxa"/>
            </w:tcMar>
            <w:vAlign w:val="center"/>
            <w:shd w:fill="4472C4"/>
          </w:tcPr>
          <w:p>
            <w:pPr>
              <w:keepNext w:val="0"/>
              <w:spacing w:before="0" w:after="0" w:line="240" w:lineRule="auto"/>
              <w:jc w:val="center"/>
            </w:pPr>
            <w:r>
              <w:rPr>
                <w:rFonts w:ascii="Cambria" w:hAnsi="Cambria" w:eastAsia="Cambria"/>
                <w:b/>
                <w:i w:val="0"/>
                <w:color w:val="FFFFFF"/>
                <w:sz w:val="30"/>
              </w:rPr>
              <w:t>≥ 95%</w:t>
              <w:br/>
            </w:r>
            <w:r>
              <w:rPr>
                <w:rFonts w:ascii="Cambria" w:hAnsi="Cambria" w:eastAsia="Cambria"/>
                <w:b w:val="0"/>
                <w:i w:val="0"/>
                <w:color w:val="FFFFFF"/>
                <w:sz w:val="17"/>
              </w:rPr>
              <w:t>Hoàn thành kế hoạch</w:t>
            </w:r>
          </w:p>
        </w:tc>
        <w:tc>
          <w:tcPr>
            <w:tcW w:type="dxa" w:w="3494"/>
            <w:tcMar>
              <w:top w:w="100" w:type="dxa"/>
              <w:left w:w="80" w:type="dxa"/>
              <w:bottom w:w="100" w:type="dxa"/>
              <w:right w:w="80" w:type="dxa"/>
            </w:tcMar>
            <w:vAlign w:val="center"/>
            <w:shd w:fill="70AD47"/>
          </w:tcPr>
          <w:p>
            <w:pPr>
              <w:keepNext w:val="0"/>
              <w:spacing w:before="0" w:after="0" w:line="240" w:lineRule="auto"/>
              <w:jc w:val="center"/>
            </w:pPr>
            <w:r>
              <w:rPr>
                <w:rFonts w:ascii="Cambria" w:hAnsi="Cambria" w:eastAsia="Cambria"/>
                <w:b/>
                <w:i w:val="0"/>
                <w:color w:val="FFFFFF"/>
                <w:sz w:val="30"/>
              </w:rPr>
              <w:t>≥ 98%</w:t>
              <w:br/>
            </w:r>
            <w:r>
              <w:rPr>
                <w:rFonts w:ascii="Cambria" w:hAnsi="Cambria" w:eastAsia="Cambria"/>
                <w:b w:val="0"/>
                <w:i w:val="0"/>
                <w:color w:val="FFFFFF"/>
                <w:sz w:val="17"/>
              </w:rPr>
              <w:t>Đào tạo bắt buộc</w:t>
            </w:r>
          </w:p>
        </w:tc>
        <w:tc>
          <w:tcPr>
            <w:tcW w:type="dxa" w:w="3494"/>
            <w:tcMar>
              <w:top w:w="100" w:type="dxa"/>
              <w:left w:w="80" w:type="dxa"/>
              <w:bottom w:w="100" w:type="dxa"/>
              <w:right w:w="80" w:type="dxa"/>
            </w:tcMar>
            <w:vAlign w:val="center"/>
            <w:shd w:fill="FFC000"/>
          </w:tcPr>
          <w:p>
            <w:pPr>
              <w:keepNext w:val="0"/>
              <w:spacing w:before="0" w:after="0" w:line="240" w:lineRule="auto"/>
              <w:jc w:val="center"/>
            </w:pPr>
            <w:r>
              <w:rPr>
                <w:rFonts w:ascii="Cambria" w:hAnsi="Cambria" w:eastAsia="Cambria"/>
                <w:b/>
                <w:i w:val="0"/>
                <w:color w:val="FFFFFF"/>
                <w:sz w:val="30"/>
              </w:rPr>
              <w:t>≥ 4,3/5</w:t>
              <w:br/>
            </w:r>
            <w:r>
              <w:rPr>
                <w:rFonts w:ascii="Cambria" w:hAnsi="Cambria" w:eastAsia="Cambria"/>
                <w:b w:val="0"/>
                <w:i w:val="0"/>
                <w:color w:val="FFFFFF"/>
                <w:sz w:val="17"/>
              </w:rPr>
              <w:t>Hài lòng</w:t>
            </w:r>
          </w:p>
        </w:tc>
      </w:tr>
      <w:tr>
        <w:tc>
          <w:tcPr>
            <w:tcW w:type="dxa" w:w="3494"/>
            <w:tcMar>
              <w:top w:w="100" w:type="dxa"/>
              <w:left w:w="80" w:type="dxa"/>
              <w:bottom w:w="100" w:type="dxa"/>
              <w:right w:w="80" w:type="dxa"/>
            </w:tcMar>
            <w:vAlign w:val="center"/>
            <w:shd w:fill="5B9BD5"/>
          </w:tcPr>
          <w:p>
            <w:pPr>
              <w:keepNext w:val="0"/>
              <w:spacing w:before="0" w:after="0" w:line="240" w:lineRule="auto"/>
              <w:jc w:val="center"/>
            </w:pPr>
            <w:r>
              <w:rPr>
                <w:rFonts w:ascii="Cambria" w:hAnsi="Cambria" w:eastAsia="Cambria"/>
                <w:b/>
                <w:i w:val="0"/>
                <w:color w:val="FFFFFF"/>
                <w:sz w:val="30"/>
              </w:rPr>
              <w:t>≥ 15 điểm</w:t>
              <w:br/>
            </w:r>
            <w:r>
              <w:rPr>
                <w:rFonts w:ascii="Cambria" w:hAnsi="Cambria" w:eastAsia="Cambria"/>
                <w:b w:val="0"/>
                <w:i w:val="0"/>
                <w:color w:val="FFFFFF"/>
                <w:sz w:val="17"/>
              </w:rPr>
              <w:t>Tăng điểm học tập</w:t>
            </w:r>
          </w:p>
        </w:tc>
        <w:tc>
          <w:tcPr>
            <w:tcW w:type="dxa" w:w="3494"/>
            <w:tcMar>
              <w:top w:w="100" w:type="dxa"/>
              <w:left w:w="80" w:type="dxa"/>
              <w:bottom w:w="100" w:type="dxa"/>
              <w:right w:w="80" w:type="dxa"/>
            </w:tcMar>
            <w:vAlign w:val="center"/>
            <w:shd w:fill="ED7D31"/>
          </w:tcPr>
          <w:p>
            <w:pPr>
              <w:keepNext w:val="0"/>
              <w:spacing w:before="0" w:after="0" w:line="240" w:lineRule="auto"/>
              <w:jc w:val="center"/>
            </w:pPr>
            <w:r>
              <w:rPr>
                <w:rFonts w:ascii="Cambria" w:hAnsi="Cambria" w:eastAsia="Cambria"/>
                <w:b/>
                <w:i w:val="0"/>
                <w:color w:val="FFFFFF"/>
                <w:sz w:val="30"/>
              </w:rPr>
              <w:t>≥ 75%</w:t>
              <w:br/>
            </w:r>
            <w:r>
              <w:rPr>
                <w:rFonts w:ascii="Cambria" w:hAnsi="Cambria" w:eastAsia="Cambria"/>
                <w:b w:val="0"/>
                <w:i w:val="0"/>
                <w:color w:val="FFFFFF"/>
                <w:sz w:val="17"/>
              </w:rPr>
              <w:t>Chuyển giao</w:t>
            </w:r>
          </w:p>
        </w:tc>
        <w:tc>
          <w:tcPr>
            <w:tcW w:type="dxa" w:w="3494"/>
            <w:tcMar>
              <w:top w:w="100" w:type="dxa"/>
              <w:left w:w="80" w:type="dxa"/>
              <w:bottom w:w="100" w:type="dxa"/>
              <w:right w:w="80" w:type="dxa"/>
            </w:tcMar>
            <w:vAlign w:val="center"/>
            <w:shd w:fill="A5A5A5"/>
          </w:tcPr>
          <w:p>
            <w:pPr>
              <w:keepNext w:val="0"/>
              <w:spacing w:before="0" w:after="0" w:line="240" w:lineRule="auto"/>
              <w:jc w:val="center"/>
            </w:pPr>
            <w:r>
              <w:rPr>
                <w:rFonts w:ascii="Cambria" w:hAnsi="Cambria" w:eastAsia="Cambria"/>
                <w:b/>
                <w:i w:val="0"/>
                <w:color w:val="FFFFFF"/>
                <w:sz w:val="30"/>
              </w:rPr>
              <w:t>≤ 100%</w:t>
              <w:br/>
            </w:r>
            <w:r>
              <w:rPr>
                <w:rFonts w:ascii="Cambria" w:hAnsi="Cambria" w:eastAsia="Cambria"/>
                <w:b w:val="0"/>
                <w:i w:val="0"/>
                <w:color w:val="FFFFFF"/>
                <w:sz w:val="17"/>
              </w:rPr>
              <w:t>Chi phí trong ngân sách</w:t>
            </w:r>
          </w:p>
        </w:tc>
      </w:tr>
    </w:tbl>
    <w:p>
      <w:pPr>
        <w:pStyle w:val="Heading1"/>
      </w:pPr>
      <w:r>
        <w:t>12. Kiểm soát thay đổi và phê duyệt chính sách</w:t>
      </w:r>
    </w:p>
    <w:tbl>
      <w:tblPr>
        <w:tblW w:type="auto" w:w="0"/>
        <w:jc w:val="center"/>
        <w:tblLayout w:type="fixed"/>
        <w:tblLook w:firstColumn="1" w:firstRow="1" w:lastColumn="0" w:lastRow="0" w:noHBand="0" w:noVBand="1" w:val="04A0"/>
      </w:tblPr>
      <w:tblGrid>
        <w:gridCol w:w="2620"/>
        <w:gridCol w:w="2620"/>
        <w:gridCol w:w="2620"/>
        <w:gridCol w:w="2620"/>
      </w:tblGrid>
      <w:tr>
        <w:trPr>
          <w:tblHeader w:val="true"/>
          <w:cantSplit/>
        </w:trPr>
        <w:tc>
          <w:tcPr>
            <w:tcW w:type="dxa" w:w="1361"/>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Phiên bản</w:t>
            </w:r>
          </w:p>
        </w:tc>
        <w:tc>
          <w:tcPr>
            <w:tcW w:type="dxa" w:w="1814"/>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Ngày hiệu lực</w:t>
            </w:r>
          </w:p>
        </w:tc>
        <w:tc>
          <w:tcPr>
            <w:tcW w:type="dxa" w:w="4706"/>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Nội dung thay đổi</w:t>
            </w:r>
          </w:p>
        </w:tc>
        <w:tc>
          <w:tcPr>
            <w:tcW w:type="dxa" w:w="2154"/>
            <w:shd w:fill="1F4E79"/>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Người phê duyệt</w:t>
            </w:r>
          </w:p>
        </w:tc>
      </w:tr>
      <w:tr>
        <w:trPr>
          <w:cantSplit/>
        </w:trPr>
        <w:tc>
          <w:tcPr>
            <w:tcW w:type="dxa" w:w="13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1.0</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01/01/2026</w:t>
            </w:r>
          </w:p>
        </w:tc>
        <w:tc>
          <w:tcPr>
            <w:tcW w:type="dxa" w:w="4706"/>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Ban hành mới chính sách và quy trình quản lý đào tạo toàn công ty.</w:t>
            </w:r>
          </w:p>
        </w:tc>
        <w:tc>
          <w:tcPr>
            <w:tcW w:type="dxa" w:w="215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Tổng Giám đốc</w:t>
            </w:r>
          </w:p>
        </w:tc>
      </w:tr>
    </w:tbl>
    <w:tbl>
      <w:tblPr>
        <w:tblW w:type="auto" w:w="0"/>
        <w:jc w:val="center"/>
        <w:tblLook w:firstColumn="1" w:firstRow="1" w:lastColumn="0" w:lastRow="0" w:noHBand="0" w:noVBand="1" w:val="04A0"/>
      </w:tblPr>
      <w:tblGrid>
        <w:gridCol w:w="2620"/>
        <w:gridCol w:w="2620"/>
        <w:gridCol w:w="2620"/>
        <w:gridCol w:w="2620"/>
      </w:tblGrid>
      <w:tr>
        <w:tc>
          <w:tcPr>
            <w:tcW w:type="dxa" w:w="2620"/>
            <w:shd w:fill="D9EAF7"/>
          </w:tcPr>
          <w:p>
            <w:pPr>
              <w:jc w:val="center"/>
            </w:pPr>
            <w:r>
              <w:rPr>
                <w:rFonts w:ascii="Cambria" w:hAnsi="Cambria" w:eastAsia="Cambria"/>
                <w:b/>
                <w:i w:val="0"/>
                <w:color w:val="1F4E79"/>
                <w:sz w:val="18"/>
              </w:rPr>
              <w:t>Soạn thảo</w:t>
              <w:br/>
              <w:t>Giám đốc L&amp;D</w:t>
            </w:r>
          </w:p>
        </w:tc>
        <w:tc>
          <w:tcPr>
            <w:tcW w:type="dxa" w:w="2620"/>
            <w:shd w:fill="D9EAF7"/>
          </w:tcPr>
          <w:p>
            <w:pPr>
              <w:jc w:val="center"/>
            </w:pPr>
            <w:r>
              <w:rPr>
                <w:rFonts w:ascii="Cambria" w:hAnsi="Cambria" w:eastAsia="Cambria"/>
                <w:b/>
                <w:i w:val="0"/>
                <w:color w:val="1F4E79"/>
                <w:sz w:val="18"/>
              </w:rPr>
              <w:t>Rà soát</w:t>
              <w:br/>
              <w:t>CHRO</w:t>
            </w:r>
          </w:p>
        </w:tc>
        <w:tc>
          <w:tcPr>
            <w:tcW w:type="dxa" w:w="2620"/>
            <w:shd w:fill="D9EAF7"/>
          </w:tcPr>
          <w:p>
            <w:pPr>
              <w:jc w:val="center"/>
            </w:pPr>
            <w:r>
              <w:rPr>
                <w:rFonts w:ascii="Cambria" w:hAnsi="Cambria" w:eastAsia="Cambria"/>
                <w:b/>
                <w:i w:val="0"/>
                <w:color w:val="1F4E79"/>
                <w:sz w:val="18"/>
              </w:rPr>
              <w:t>Thẩm định</w:t>
              <w:br/>
              <w:t>Pháp chế/CFO</w:t>
            </w:r>
          </w:p>
        </w:tc>
        <w:tc>
          <w:tcPr>
            <w:tcW w:type="dxa" w:w="2620"/>
            <w:shd w:fill="D9EAF7"/>
          </w:tcPr>
          <w:p>
            <w:pPr>
              <w:jc w:val="center"/>
            </w:pPr>
            <w:r>
              <w:rPr>
                <w:rFonts w:ascii="Cambria" w:hAnsi="Cambria" w:eastAsia="Cambria"/>
                <w:b/>
                <w:i w:val="0"/>
                <w:color w:val="1F4E79"/>
                <w:sz w:val="18"/>
              </w:rPr>
              <w:t>Phê duyệt</w:t>
              <w:br/>
              <w:t>Tổng Giám đốc</w:t>
            </w:r>
          </w:p>
        </w:tc>
      </w:tr>
      <w:tr>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r>
    </w:tbl>
    <w:sectPr w:rsidR="00FC693F" w:rsidRPr="0006063C" w:rsidSect="00034616">
      <w:headerReference w:type="default" r:id="rId9"/>
      <w:footerReference w:type="default" r:id="rId10"/>
      <w:pgSz w:w="12240" w:h="15840"/>
      <w:pgMar w:top="879" w:right="879" w:bottom="879"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center"/>
    </w:pPr>
    <w:r>
      <w:rPr>
        <w:rFonts w:ascii="Cambria" w:hAnsi="Cambria" w:eastAsia="Cambria"/>
        <w:b/>
        <w:i w:val="0"/>
        <w:color w:val="1F4E79"/>
        <w:sz w:val="20"/>
      </w:rPr>
      <w:t>TÀI LIỆU CỦA HỌC VIỆN MASTERSKILLS</w:t>
      <w:br/>
    </w:r>
    <w:r>
      <w:rPr>
        <w:rFonts w:ascii="Cambria" w:hAnsi="Cambria" w:eastAsia="Cambria"/>
        <w:b w:val="0"/>
        <w:i w:val="0"/>
        <w:color w:val="1F4E79"/>
        <w:sz w:val="20"/>
      </w:rPr>
      <w:t>Website: www.Masterskills.org | Email: info@Masterskills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center"/>
    </w:pPr>
    <w:r>
      <w:rPr>
        <w:rFonts w:ascii="Cambria" w:hAnsi="Cambria" w:eastAsia="Cambria"/>
        <w:b/>
        <w:i w:val="0"/>
        <w:color w:val="1F4E79"/>
        <w:sz w:val="20"/>
      </w:rPr>
      <w:t>MASTERSKILLS</w:t>
      <w:br/>
    </w:r>
    <w:r>
      <w:rPr>
        <w:rFonts w:ascii="Cambria" w:hAnsi="Cambria" w:eastAsia="Cambria"/>
        <w:b w:val="0"/>
        <w:i w:val="0"/>
        <w:color w:val="1F4E79"/>
        <w:sz w:val="20"/>
      </w:rPr>
      <w:t>CHÍNH SÁCH VÀ QUY TRÌNH ĐÀO TẠO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val="bestFit"/>
  <w:proofState w:spelling="clean" w:grammar="clean"/>
  <w:defaultTabStop w:val="720"/>
  <w:characterSpacingControl w:val="doNotCompress"/>
  <w:savePreviewPicture/>
  <w:compat>
    <w:useFELayout/>
    <w:compatSetting w:name="compatibilityMode" w:uri="http://schemas.microsoft.com/office/word" w:val="12"/>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Cambria" w:hAnsi="Cambria" w:eastAsia="Cambr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Cambria" w:hAnsi="Cambria" w:eastAsia="Cambria"/>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Cambria" w:hAnsi="Cambria" w:eastAsia="Cambria"/>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mbria" w:hAnsi="Cambria" w:eastAsia="Cambria"/>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mbria" w:hAnsi="Cambria" w:eastAsia="Cambria"/>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LinksUpToDate>false</LinksUpToDate>
  <CharactersWithSpaces>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2013-12-23T23:15:00Z</dcterms:created>
  <dcterms:modified xsi:type="dcterms:W3CDTF">2013-12-23T23:15:00Z</dcterms:modified>
  <cp:category/>
</cp:coreProperties>
</file>