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60" w:after="80" w:line="240" w:lineRule="auto"/>
        <w:jc w:val="center"/>
      </w:pPr>
      <w:r>
        <w:rPr>
          <w:rFonts w:ascii="Cambria" w:hAnsi="Cambria" w:eastAsia="Cambria"/>
          <w:b/>
          <w:i w:val="0"/>
          <w:color w:val="2F5597"/>
          <w:sz w:val="36"/>
        </w:rPr>
        <w:t>HỒ SƠ CHƯƠNG TRÌNH ĐÀO TẠO</w:t>
      </w:r>
    </w:p>
    <w:p>
      <w:pPr>
        <w:keepNext w:val="0"/>
        <w:spacing w:before="0" w:after="80" w:line="259" w:lineRule="auto"/>
        <w:jc w:val="center"/>
      </w:pPr>
      <w:r>
        <w:rPr>
          <w:rFonts w:ascii="Cambria" w:hAnsi="Cambria" w:eastAsia="Cambria"/>
          <w:b/>
          <w:i w:val="0"/>
          <w:color w:val="333333"/>
          <w:sz w:val="22"/>
        </w:rPr>
        <w:t>Chương trình: Năng lực quản lý tuyến đầu &amp; Lean Problem Solving</w:t>
      </w:r>
    </w:p>
    <w:p>
      <w:pPr>
        <w:keepNext w:val="0"/>
        <w:spacing w:before="0" w:after="160" w:line="259" w:lineRule="auto"/>
        <w:jc w:val="center"/>
      </w:pPr>
      <w:r>
        <w:rPr>
          <w:rFonts w:ascii="Cambria" w:hAnsi="Cambria" w:eastAsia="Cambria"/>
          <w:b w:val="0"/>
          <w:i/>
          <w:color w:val="666666"/>
          <w:sz w:val="19"/>
        </w:rPr>
        <w:t>Mã chương trình: LD-06 | Phiên bản 1.0 | Năm áp dụng: 2026</w:t>
      </w:r>
    </w:p>
    <w:tbl>
      <w:tblPr>
        <w:tblW w:type="auto" w:w="0"/>
        <w:jc w:val="center"/>
        <w:tblLayout w:type="autofit"/>
        <w:tblLook w:firstColumn="1" w:firstRow="1" w:lastColumn="0" w:lastRow="0" w:noHBand="0" w:noVBand="1" w:val="04A0"/>
      </w:tblPr>
      <w:tblGrid>
        <w:gridCol w:w="10482"/>
      </w:tblGrid>
      <w:tr>
        <w:tc>
          <w:tcPr>
            <w:tcW w:type="dxa" w:w="10482"/>
            <w:shd w:fill="2F5597"/>
          </w:tcPr>
          <w:p>
            <w:r>
              <w:t xml:space="preserve"> </w:t>
            </w:r>
          </w:p>
        </w:tc>
      </w:tr>
    </w:tbl>
    <w:tbl>
      <w:tblPr>
        <w:tblW w:type="auto" w:w="0"/>
        <w:jc w:val="center"/>
        <w:tblLayout w:type="fixed"/>
        <w:tblLook w:firstColumn="1" w:firstRow="1" w:lastColumn="0" w:lastRow="0" w:noHBand="0" w:noVBand="1" w:val="04A0"/>
      </w:tblPr>
      <w:tblGrid>
        <w:gridCol w:w="1814"/>
        <w:gridCol w:w="8220"/>
      </w:tblGrid>
      <w:tr>
        <w:tc>
          <w:tcPr>
            <w:tcW w:type="dxa" w:w="5241"/>
            <w:shd w:fill="2F5597"/>
            <w:tcMar>
              <w:top w:w="100" w:type="dxa"/>
              <w:left w:w="110" w:type="dxa"/>
              <w:bottom w:w="100" w:type="dxa"/>
              <w:right w:w="110" w:type="dxa"/>
            </w:tcMar>
            <w:vAlign w:val="center"/>
          </w:tcPr>
          <w:p>
            <w:pPr>
              <w:jc w:val="center"/>
            </w:pPr>
            <w:r>
              <w:rPr>
                <w:rFonts w:ascii="Cambria" w:hAnsi="Cambria" w:eastAsia="Cambria"/>
                <w:b/>
                <w:i w:val="0"/>
                <w:color w:val="FFFFFF"/>
                <w:sz w:val="20"/>
              </w:rPr>
              <w:t>MỤC ĐÍCH</w:t>
              <w:br/>
              <w:t>SỬ DỤNG</w:t>
            </w:r>
          </w:p>
        </w:tc>
        <w:tc>
          <w:tcPr>
            <w:tcW w:type="dxa" w:w="5241"/>
            <w:shd w:fill="EEF4F8"/>
            <w:tcMar>
              <w:top w:w="100" w:type="dxa"/>
              <w:left w:w="110" w:type="dxa"/>
              <w:bottom w:w="100" w:type="dxa"/>
              <w:right w:w="110" w:type="dxa"/>
            </w:tcMar>
            <w:vAlign w:val="center"/>
          </w:tcPr>
          <w:p>
            <w:pPr>
              <w:keepNext w:val="0"/>
              <w:spacing w:before="0" w:after="0" w:line="259" w:lineRule="auto"/>
            </w:pPr>
            <w:r>
              <w:rPr>
                <w:rFonts w:ascii="Cambria" w:hAnsi="Cambria" w:eastAsia="Cambria"/>
                <w:b w:val="0"/>
                <w:i w:val="0"/>
                <w:color w:val="333333"/>
                <w:sz w:val="20"/>
              </w:rPr>
              <w:t>Chuẩn hóa toàn bộ thông tin thiết kế chương trình, đối tượng học viên, chuẩn đầu ra, nội dung, phương pháp, ngân sách, rủi ro và kế hoạch đánh giá trước khi triển khai.</w:t>
            </w:r>
          </w:p>
        </w:tc>
      </w:tr>
    </w:tbl>
    <w:p>
      <w:pPr>
        <w:pStyle w:val="Heading1"/>
      </w:pPr>
      <w:r>
        <w:t>1. Thông tin chương trình</w:t>
      </w:r>
    </w:p>
    <w:tbl>
      <w:tblPr>
        <w:tblW w:type="auto" w:w="0"/>
        <w:jc w:val="center"/>
        <w:tblLayout w:type="fixed"/>
        <w:tblLook w:firstColumn="1" w:firstRow="1" w:lastColumn="0" w:lastRow="0" w:noHBand="0" w:noVBand="1" w:val="04A0"/>
      </w:tblPr>
      <w:tblGrid>
        <w:gridCol w:w="5241"/>
        <w:gridCol w:w="5241"/>
      </w:tblGrid>
      <w:tr>
        <w:trPr>
          <w:tblHeader w:val="true"/>
          <w:cantSplit/>
        </w:trPr>
        <w:tc>
          <w:tcPr>
            <w:tcW w:type="dxa" w:w="2665"/>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Trường thông tin</w:t>
            </w:r>
          </w:p>
        </w:tc>
        <w:tc>
          <w:tcPr>
            <w:tcW w:type="dxa" w:w="7370"/>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8"/>
              </w:rPr>
              <w:t>Nội dung</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Đơn vị đề xuất</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Khối Vận hành – phối hợp Khối Nhân sự/L&amp;D</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Chủ sở hữu chương trình</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Giám đốc L&amp;D</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Đối tượng</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48 tổ trưởng sản xuất; 12 giám sát kỹ thuật/chất lượng; 06 tổ trưởng kho; 06 quản lý tiềm năng</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Quy mô</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72 học viên, 03 lớp, 24 học viên/lớp</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Thời lượng</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04 ngày học tập trung + dự án ứng dụng 90 ngày</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Địa điểm</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Trung tâm đào tạo Bắc Ninh và Bình Dương</w:t>
            </w:r>
          </w:p>
        </w:tc>
      </w:tr>
      <w:tr>
        <w:trPr>
          <w:cantSplit/>
        </w:trPr>
        <w:tc>
          <w:tcPr>
            <w:tcW w:type="dxa" w:w="266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Nhà cung cấp dự kiến</w:t>
            </w:r>
          </w:p>
        </w:tc>
        <w:tc>
          <w:tcPr>
            <w:tcW w:type="dxa" w:w="737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LeanPro Institute (giả định) + 04 giảng viên nội bộ</w:t>
            </w:r>
          </w:p>
        </w:tc>
      </w:tr>
      <w:tr>
        <w:trPr>
          <w:cantSplit/>
        </w:trPr>
        <w:tc>
          <w:tcPr>
            <w:tcW w:type="dxa" w:w="266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Ngôn ngữ</w:t>
            </w:r>
          </w:p>
        </w:tc>
        <w:tc>
          <w:tcPr>
            <w:tcW w:type="dxa" w:w="737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8"/>
              </w:rPr>
              <w:t>Tiếng Việt; thuật ngữ Lean song ngữ khi cần</w:t>
            </w:r>
          </w:p>
        </w:tc>
      </w:tr>
    </w:tbl>
    <w:p>
      <w:pPr>
        <w:pStyle w:val="Heading1"/>
      </w:pPr>
      <w:r>
        <w:t>2. Căn cứ và mục tiêu kinh doanh</w:t>
      </w:r>
    </w:p>
    <w:p>
      <w:pPr>
        <w:pStyle w:val="ListBullet"/>
        <w:spacing w:after="40"/>
        <w:ind w:left="312" w:hanging="142"/>
      </w:pPr>
      <w:r>
        <w:rPr>
          <w:rFonts w:ascii="Cambria" w:hAnsi="Cambria" w:eastAsia="Cambria"/>
          <w:b w:val="0"/>
          <w:i w:val="0"/>
          <w:color w:val="333333"/>
          <w:sz w:val="20"/>
        </w:rPr>
        <w:t>62% tổ trưởng được thăng chức từ nhân sự kỹ thuật/sản xuất nhưng chưa trải qua chương trình quản lý chính thức.</w:t>
      </w:r>
    </w:p>
    <w:p>
      <w:pPr>
        <w:pStyle w:val="ListBullet"/>
        <w:spacing w:after="40"/>
        <w:ind w:left="312" w:hanging="142"/>
      </w:pPr>
      <w:r>
        <w:rPr>
          <w:rFonts w:ascii="Cambria" w:hAnsi="Cambria" w:eastAsia="Cambria"/>
          <w:b w:val="0"/>
          <w:i w:val="0"/>
          <w:color w:val="333333"/>
          <w:sz w:val="20"/>
        </w:rPr>
        <w:t>Chênh lệch năng suất giữa các ca tại ba nhà máy dao động 9–17%; hoạt động họp đầu ca và phản hồi hiệu suất thiếu chuẩn hóa.</w:t>
      </w:r>
    </w:p>
    <w:p>
      <w:pPr>
        <w:pStyle w:val="ListBullet"/>
        <w:spacing w:after="40"/>
        <w:ind w:left="312" w:hanging="142"/>
      </w:pPr>
      <w:r>
        <w:rPr>
          <w:rFonts w:ascii="Cambria" w:hAnsi="Cambria" w:eastAsia="Cambria"/>
          <w:b w:val="0"/>
          <w:i w:val="0"/>
          <w:color w:val="333333"/>
          <w:sz w:val="20"/>
        </w:rPr>
        <w:t>Mục tiêu kinh doanh: giảm thời gian dừng máy ít nhất 8%, giảm lỗi lặp lại 7%, tăng số đề xuất cải tiến 20% tại các đơn vị tham gia.</w:t>
      </w:r>
    </w:p>
    <w:p>
      <w:pPr>
        <w:keepNext w:val="0"/>
        <w:spacing w:before="40" w:after="40" w:line="259" w:lineRule="auto"/>
        <w:jc w:val="center"/>
      </w:pPr>
      <w:r>
        <w:drawing>
          <wp:inline xmlns:a="http://schemas.openxmlformats.org/drawingml/2006/main" xmlns:pic="http://schemas.openxmlformats.org/drawingml/2006/picture">
            <wp:extent cx="5940000" cy="2937434"/>
            <wp:docPr id="1" name="Picture 1"/>
            <wp:cNvGraphicFramePr>
              <a:graphicFrameLocks noChangeAspect="1"/>
            </wp:cNvGraphicFramePr>
            <a:graphic>
              <a:graphicData uri="http://schemas.openxmlformats.org/drawingml/2006/picture">
                <pic:pic>
                  <pic:nvPicPr>
                    <pic:cNvPr id="0" name="program_competency_gap.png"/>
                    <pic:cNvPicPr/>
                  </pic:nvPicPr>
                  <pic:blipFill>
                    <a:blip r:embed="rId11"/>
                    <a:stretch>
                      <a:fillRect/>
                    </a:stretch>
                  </pic:blipFill>
                  <pic:spPr>
                    <a:xfrm>
                      <a:off x="0" y="0"/>
                      <a:ext cx="5940000" cy="2937434"/>
                    </a:xfrm>
                    <a:prstGeom prst="rect"/>
                  </pic:spPr>
                </pic:pic>
              </a:graphicData>
            </a:graphic>
          </wp:inline>
        </w:drawing>
      </w:r>
    </w:p>
    <w:p>
      <w:pPr>
        <w:keepNext w:val="0"/>
        <w:spacing w:before="0" w:after="80" w:line="259" w:lineRule="auto"/>
        <w:jc w:val="center"/>
      </w:pPr>
      <w:r>
        <w:rPr>
          <w:rFonts w:ascii="Cambria" w:hAnsi="Cambria" w:eastAsia="Cambria"/>
          <w:b w:val="0"/>
          <w:i/>
          <w:color w:val="666666"/>
          <w:sz w:val="17"/>
        </w:rPr>
        <w:t>Khoảng cách năng lực đầu vào và chuẩn mục tiêu</w:t>
      </w:r>
    </w:p>
    <w:p>
      <w:pPr>
        <w:pStyle w:val="Heading1"/>
      </w:pPr>
      <w:r>
        <w:t>3. Chuẩn đầu ra</w:t>
      </w:r>
    </w:p>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3005"/>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Chuẩn đầu ra</w:t>
            </w:r>
          </w:p>
        </w:tc>
        <w:tc>
          <w:tcPr>
            <w:tcW w:type="dxa" w:w="4819"/>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Tiêu chí đo lường</w:t>
            </w:r>
          </w:p>
        </w:tc>
        <w:tc>
          <w:tcPr>
            <w:tcW w:type="dxa" w:w="2211"/>
            <w:shd w:fill="5B9BD5"/>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Mức yêu cầu</w:t>
            </w:r>
          </w:p>
        </w:tc>
      </w:tr>
      <w:tr>
        <w:trPr>
          <w:cantSplit/>
        </w:trPr>
        <w:tc>
          <w:tcPr>
            <w:tcW w:type="dxa" w:w="300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Lập kế hoạch và điều hành ca</w:t>
            </w:r>
          </w:p>
        </w:tc>
        <w:tc>
          <w:tcPr>
            <w:tcW w:type="dxa" w:w="481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Xây dựng kế hoạch ca, phân bổ người, kiểm soát nhịp họp</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80/100 theo rubric</w:t>
            </w:r>
          </w:p>
        </w:tc>
      </w:tr>
      <w:tr>
        <w:trPr>
          <w:cantSplit/>
        </w:trPr>
        <w:tc>
          <w:tcPr>
            <w:tcW w:type="dxa" w:w="300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Giao việc và phản hồi</w:t>
            </w:r>
          </w:p>
        </w:tc>
        <w:tc>
          <w:tcPr>
            <w:tcW w:type="dxa" w:w="481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Thực hiện giao việc theo 5W1H và phản hồi theo SBI</w:t>
            </w:r>
          </w:p>
        </w:tc>
        <w:tc>
          <w:tcPr>
            <w:tcW w:type="dxa" w:w="221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Đạt 4/5 tiêu chí mô phỏng</w:t>
            </w:r>
          </w:p>
        </w:tc>
      </w:tr>
      <w:tr>
        <w:trPr>
          <w:cantSplit/>
        </w:trPr>
        <w:tc>
          <w:tcPr>
            <w:tcW w:type="dxa" w:w="300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Giải quyết vấn đề Lean</w:t>
            </w:r>
          </w:p>
        </w:tc>
        <w:tc>
          <w:tcPr>
            <w:tcW w:type="dxa" w:w="481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Hoàn thiện A3, 5 Why và phân tích nguyên nhân gốc</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 75/100 bài dự án</w:t>
            </w:r>
          </w:p>
        </w:tc>
      </w:tr>
      <w:tr>
        <w:trPr>
          <w:cantSplit/>
        </w:trPr>
        <w:tc>
          <w:tcPr>
            <w:tcW w:type="dxa" w:w="300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Quản lý hiệu suất</w:t>
            </w:r>
          </w:p>
        </w:tc>
        <w:tc>
          <w:tcPr>
            <w:tcW w:type="dxa" w:w="4819"/>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Theo dõi KPI, phát hiện lệch chuẩn, triển khai hành động</w:t>
            </w:r>
          </w:p>
        </w:tc>
        <w:tc>
          <w:tcPr>
            <w:tcW w:type="dxa" w:w="221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KPI dự án cải thiện ≥ 5%</w:t>
            </w:r>
          </w:p>
        </w:tc>
      </w:tr>
      <w:tr>
        <w:trPr>
          <w:cantSplit/>
        </w:trPr>
        <w:tc>
          <w:tcPr>
            <w:tcW w:type="dxa" w:w="300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Huấn luyện tại hiện trường</w:t>
            </w:r>
          </w:p>
        </w:tc>
        <w:tc>
          <w:tcPr>
            <w:tcW w:type="dxa" w:w="4819"/>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Thực hiện ít nhất 02 phiên coaching với nhân viên</w:t>
            </w:r>
          </w:p>
        </w:tc>
        <w:tc>
          <w:tcPr>
            <w:tcW w:type="dxa" w:w="221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Quản lý xác nhận đạt</w:t>
            </w:r>
          </w:p>
        </w:tc>
      </w:tr>
    </w:tbl>
    <w:p>
      <w:r>
        <w:br w:type="page"/>
      </w:r>
    </w:p>
    <w:p>
      <w:pPr>
        <w:pStyle w:val="Heading1"/>
      </w:pPr>
      <w:r>
        <w:t>4. Kiến trúc nội dung và phương pháp</w:t>
      </w:r>
    </w:p>
    <w:tbl>
      <w:tblPr>
        <w:tblW w:type="auto" w:w="0"/>
        <w:jc w:val="center"/>
        <w:tblLayout w:type="fixed"/>
        <w:tblLook w:firstColumn="1" w:firstRow="1" w:lastColumn="0" w:lastRow="0" w:noHBand="0" w:noVBand="1" w:val="04A0"/>
      </w:tblPr>
      <w:tblGrid>
        <w:gridCol w:w="2096"/>
        <w:gridCol w:w="2096"/>
        <w:gridCol w:w="2096"/>
        <w:gridCol w:w="2096"/>
        <w:gridCol w:w="2096"/>
      </w:tblGrid>
      <w:tr>
        <w:trPr>
          <w:tblHeader w:val="true"/>
          <w:cantSplit/>
        </w:trPr>
        <w:tc>
          <w:tcPr>
            <w:tcW w:type="dxa" w:w="737"/>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Mô-đun</w:t>
            </w:r>
          </w:p>
        </w:tc>
        <w:tc>
          <w:tcPr>
            <w:tcW w:type="dxa" w:w="3798"/>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Nội dung trọng tâm</w:t>
            </w:r>
          </w:p>
        </w:tc>
        <w:tc>
          <w:tcPr>
            <w:tcW w:type="dxa" w:w="1134"/>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Thời lượng</w:t>
            </w:r>
          </w:p>
        </w:tc>
        <w:tc>
          <w:tcPr>
            <w:tcW w:type="dxa" w:w="2381"/>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Phương pháp</w:t>
            </w:r>
          </w:p>
        </w:tc>
        <w:tc>
          <w:tcPr>
            <w:tcW w:type="dxa" w:w="1871"/>
            <w:shd w:fill="70AD4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Đánh giá</w:t>
            </w:r>
          </w:p>
        </w:tc>
      </w:tr>
      <w:tr>
        <w:trPr>
          <w:cantSplit/>
        </w:trPr>
        <w:tc>
          <w:tcPr>
            <w:tcW w:type="dxa" w:w="73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M1</w:t>
            </w:r>
          </w:p>
        </w:tc>
        <w:tc>
          <w:tcPr>
            <w:tcW w:type="dxa" w:w="37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Vai trò quản lý tuyến đầu; chuyển dịch từ chuyên gia sang người quản lý</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0,5 ngày</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Case study, tự đánh giá</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Quiz 10 câu</w:t>
            </w:r>
          </w:p>
        </w:tc>
      </w:tr>
      <w:tr>
        <w:trPr>
          <w:cantSplit/>
        </w:trPr>
        <w:tc>
          <w:tcPr>
            <w:tcW w:type="dxa" w:w="73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M2</w:t>
            </w:r>
          </w:p>
        </w:tc>
        <w:tc>
          <w:tcPr>
            <w:tcW w:type="dxa" w:w="37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Lập kế hoạch ca; quản trị trực quan; daily management</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0,5 ngày</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Mô phỏng, thực hành bảng ca</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Bài tập nhóm</w:t>
            </w:r>
          </w:p>
        </w:tc>
      </w:tr>
      <w:tr>
        <w:trPr>
          <w:cantSplit/>
        </w:trPr>
        <w:tc>
          <w:tcPr>
            <w:tcW w:type="dxa" w:w="73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M3</w:t>
            </w:r>
          </w:p>
        </w:tc>
        <w:tc>
          <w:tcPr>
            <w:tcW w:type="dxa" w:w="37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Giao việc, phản hồi, xử lý xung đột và kỷ luật tích cực</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ngày</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Role play, video feedback</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Rubric hành vi</w:t>
            </w:r>
          </w:p>
        </w:tc>
      </w:tr>
      <w:tr>
        <w:trPr>
          <w:cantSplit/>
        </w:trPr>
        <w:tc>
          <w:tcPr>
            <w:tcW w:type="dxa" w:w="73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M4</w:t>
            </w:r>
          </w:p>
        </w:tc>
        <w:tc>
          <w:tcPr>
            <w:tcW w:type="dxa" w:w="37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A3, 5 Why, Fishbone, Pareto và lựa chọn giải pháp</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ngày</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Gemba case, workshop</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Bài A3</w:t>
            </w:r>
          </w:p>
        </w:tc>
      </w:tr>
      <w:tr>
        <w:trPr>
          <w:cantSplit/>
        </w:trPr>
        <w:tc>
          <w:tcPr>
            <w:tcW w:type="dxa" w:w="73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M5</w:t>
            </w:r>
          </w:p>
        </w:tc>
        <w:tc>
          <w:tcPr>
            <w:tcW w:type="dxa" w:w="37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Coaching cải tiến; trình bày kế hoạch dự án 90 ngày</w:t>
            </w:r>
          </w:p>
        </w:tc>
        <w:tc>
          <w:tcPr>
            <w:tcW w:type="dxa" w:w="113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1 ngày</w:t>
            </w:r>
          </w:p>
        </w:tc>
        <w:tc>
          <w:tcPr>
            <w:tcW w:type="dxa" w:w="238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Simulation, peer coaching</w:t>
            </w:r>
          </w:p>
        </w:tc>
        <w:tc>
          <w:tcPr>
            <w:tcW w:type="dxa" w:w="187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Pitch dự án</w:t>
            </w:r>
          </w:p>
        </w:tc>
      </w:tr>
      <w:tr>
        <w:trPr>
          <w:cantSplit/>
        </w:trPr>
        <w:tc>
          <w:tcPr>
            <w:tcW w:type="dxa" w:w="73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M6</w:t>
            </w:r>
          </w:p>
        </w:tc>
        <w:tc>
          <w:tcPr>
            <w:tcW w:type="dxa" w:w="37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Dự án ứng dụng tại đơn vị</w:t>
            </w:r>
          </w:p>
        </w:tc>
        <w:tc>
          <w:tcPr>
            <w:tcW w:type="dxa" w:w="113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90 ngày</w:t>
            </w:r>
          </w:p>
        </w:tc>
        <w:tc>
          <w:tcPr>
            <w:tcW w:type="dxa" w:w="238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Coaching quản lý + review L&amp;D</w:t>
            </w:r>
          </w:p>
        </w:tc>
        <w:tc>
          <w:tcPr>
            <w:tcW w:type="dxa" w:w="187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KPI &amp; hội đồng</w:t>
            </w:r>
          </w:p>
        </w:tc>
      </w:tr>
    </w:tbl>
    <w:p>
      <w:pPr>
        <w:pStyle w:val="Heading1"/>
      </w:pPr>
      <w:r>
        <w:t>5. Dữ liệu học viên và phân lớp</w:t>
      </w:r>
    </w:p>
    <w:tbl>
      <w:tblPr>
        <w:tblW w:type="auto" w:w="0"/>
        <w:jc w:val="center"/>
        <w:tblLayout w:type="fixed"/>
        <w:tblLook w:firstColumn="1" w:firstRow="1" w:lastColumn="0" w:lastRow="0" w:noHBand="0" w:noVBand="1" w:val="04A0"/>
      </w:tblPr>
      <w:tblGrid>
        <w:gridCol w:w="1747"/>
        <w:gridCol w:w="1747"/>
        <w:gridCol w:w="1747"/>
        <w:gridCol w:w="1747"/>
        <w:gridCol w:w="1747"/>
        <w:gridCol w:w="1747"/>
      </w:tblGrid>
      <w:tr>
        <w:trPr>
          <w:tblHeader w:val="true"/>
          <w:cantSplit/>
        </w:trPr>
        <w:tc>
          <w:tcPr>
            <w:tcW w:type="dxa" w:w="1020"/>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Mã NV</w:t>
            </w:r>
          </w:p>
        </w:tc>
        <w:tc>
          <w:tcPr>
            <w:tcW w:type="dxa" w:w="2098"/>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Họ và tên</w:t>
            </w:r>
          </w:p>
        </w:tc>
        <w:tc>
          <w:tcPr>
            <w:tcW w:type="dxa" w:w="1701"/>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Đơn vị</w:t>
            </w:r>
          </w:p>
        </w:tc>
        <w:tc>
          <w:tcPr>
            <w:tcW w:type="dxa" w:w="2268"/>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Chức danh</w:t>
            </w:r>
          </w:p>
        </w:tc>
        <w:tc>
          <w:tcPr>
            <w:tcW w:type="dxa" w:w="964"/>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Lớp</w:t>
            </w:r>
          </w:p>
        </w:tc>
        <w:tc>
          <w:tcPr>
            <w:tcW w:type="dxa" w:w="907"/>
            <w:shd w:fill="2F5597"/>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5"/>
              </w:rPr>
              <w:t>Pre-test</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DV0001</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Đỗ Kim Phương</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55.1</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DV0002</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Đỗ Văn Khôi</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56.8</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DV0003</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Trần Đình Nam</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56.7</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DV0004</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Ngô Đình Tùng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62.5</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DV0005</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Võ Thị Hạnh</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54.9</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DV0006</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Bùi Quốc Thành</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66.8</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DV0007</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Vũ Công Dũng</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53.1</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DV0008</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Phạm Minh Bình</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70.9</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DV0009</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Bùi Thị Linh</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54.6</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DV0010</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Ngô Đức Khang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53.8</w:t>
            </w:r>
          </w:p>
        </w:tc>
      </w:tr>
      <w:tr>
        <w:trPr>
          <w:cantSplit/>
        </w:trPr>
        <w:tc>
          <w:tcPr>
            <w:tcW w:type="dxa" w:w="1020"/>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DV0011</w:t>
            </w:r>
          </w:p>
        </w:tc>
        <w:tc>
          <w:tcPr>
            <w:tcW w:type="dxa" w:w="209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Trần Quốc Đạt</w:t>
            </w:r>
          </w:p>
        </w:tc>
        <w:tc>
          <w:tcPr>
            <w:tcW w:type="dxa" w:w="170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66.5</w:t>
            </w:r>
          </w:p>
        </w:tc>
      </w:tr>
      <w:tr>
        <w:trPr>
          <w:cantSplit/>
        </w:trPr>
        <w:tc>
          <w:tcPr>
            <w:tcW w:type="dxa" w:w="1020"/>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DV0012</w:t>
            </w:r>
          </w:p>
        </w:tc>
        <w:tc>
          <w:tcPr>
            <w:tcW w:type="dxa" w:w="209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Hồ Đức Tùng</w:t>
            </w:r>
          </w:p>
        </w:tc>
        <w:tc>
          <w:tcPr>
            <w:tcW w:type="dxa" w:w="170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NM Bắc Ninh</w:t>
            </w:r>
          </w:p>
        </w:tc>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Tổ trưởng sản xuất</w:t>
            </w:r>
          </w:p>
        </w:tc>
        <w:tc>
          <w:tcPr>
            <w:tcW w:type="dxa" w:w="96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5"/>
              </w:rPr>
              <w:t>Lớp 1</w:t>
            </w:r>
          </w:p>
        </w:tc>
        <w:tc>
          <w:tcPr>
            <w:tcW w:type="dxa" w:w="90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val="0"/>
                <w:i w:val="0"/>
                <w:color w:val="333333"/>
                <w:sz w:val="15"/>
              </w:rPr>
              <w:t>65.8</w:t>
            </w:r>
          </w:p>
        </w:tc>
      </w:tr>
    </w:tbl>
    <w:tbl>
      <w:tblPr>
        <w:tblW w:type="auto" w:w="0"/>
        <w:tblLook w:firstColumn="1" w:firstRow="1" w:lastColumn="0" w:lastRow="0" w:noHBand="0" w:noVBand="1" w:val="04A0"/>
      </w:tblPr>
      <w:tblGrid>
        <w:gridCol w:w="10482"/>
      </w:tblGrid>
      <w:tr>
        <w:tc>
          <w:tcPr>
            <w:tcW w:type="dxa" w:w="10482"/>
            <w:shd w:fill="DDEBF7"/>
            <w:tcMar>
              <w:top w:w="90" w:type="dxa"/>
              <w:left w:w="100" w:type="dxa"/>
              <w:bottom w:w="90" w:type="dxa"/>
              <w:right w:w="100" w:type="dxa"/>
            </w:tcMar>
            <w:tcBorders>
              <w:top w:val="single" w:sz="8" w:color="5B9BD5"/>
              <w:left w:val="single" w:sz="8" w:color="5B9BD5"/>
              <w:bottom w:val="single" w:sz="8" w:color="5B9BD5"/>
              <w:right w:val="single" w:sz="8" w:color="5B9BD5"/>
            </w:tcBorders>
          </w:tcPr>
          <w:p>
            <w:pPr>
              <w:keepNext w:val="0"/>
              <w:spacing w:before="0" w:after="0" w:line="259" w:lineRule="auto"/>
            </w:pPr>
            <w:r>
              <w:rPr>
                <w:rFonts w:ascii="Cambria" w:hAnsi="Cambria" w:eastAsia="Cambria"/>
                <w:b w:val="0"/>
                <w:i w:val="0"/>
                <w:color w:val="333333"/>
                <w:sz w:val="19"/>
              </w:rPr>
              <w:t>Danh sách đầy đủ 72 học viên, thông tin điểm danh và điểm số được quản lý tại file “Danh sách học viên và điểm danh.xlsx”.</w:t>
            </w:r>
          </w:p>
        </w:tc>
      </w:tr>
    </w:tbl>
    <w:p>
      <w:pPr>
        <w:pStyle w:val="Heading1"/>
      </w:pPr>
      <w:r>
        <w:t>6. Ngân sách và nguồn lực</w:t>
      </w:r>
    </w:p>
    <w:tbl>
      <w:tblPr>
        <w:tblW w:type="auto" w:w="0"/>
        <w:jc w:val="center"/>
        <w:tblLayout w:type="fixed"/>
        <w:tblLook w:firstColumn="1" w:firstRow="1" w:lastColumn="0" w:lastRow="0" w:noHBand="0" w:noVBand="1" w:val="04A0"/>
      </w:tblPr>
      <w:tblGrid>
        <w:gridCol w:w="5241"/>
        <w:gridCol w:w="5241"/>
      </w:tblGrid>
      <w:tr>
        <w:tc>
          <w:tcPr>
            <w:tcW w:type="dxa" w:w="4706"/>
            <w:tcMar>
              <w:top w:w="80" w:type="dxa"/>
              <w:left w:w="80" w:type="dxa"/>
              <w:bottom w:w="80" w:type="dxa"/>
              <w:right w:w="80" w:type="dxa"/>
            </w:tcMar>
            <w:tcBorders>
              <w:top w:val="single" w:sz="4" w:color="D9E2F3"/>
              <w:left w:val="single" w:sz="4" w:color="D9E2F3"/>
              <w:bottom w:val="single" w:sz="4" w:color="D9E2F3"/>
              <w:right w:val="single" w:sz="4" w:color="D9E2F3"/>
            </w:tcBorders>
          </w:tcPr>
          <w:p>
            <w:pPr>
              <w:keepNext w:val="0"/>
              <w:spacing w:before="0" w:after="80" w:line="259" w:lineRule="auto"/>
            </w:pPr>
            <w:r>
              <w:rPr>
                <w:rFonts w:ascii="Cambria" w:hAnsi="Cambria" w:eastAsia="Cambria"/>
                <w:b/>
                <w:i w:val="0"/>
                <w:color w:val="ED7D31"/>
                <w:sz w:val="22"/>
              </w:rPr>
              <w:t>Cơ cấu ngân sách</w:t>
            </w:r>
          </w:p>
          <w:tbl>
            <w:tblPr>
              <w:tblW w:type="auto" w:w="0"/>
              <w:tblLook w:firstColumn="1" w:firstRow="1" w:lastColumn="0" w:lastRow="0" w:noHBand="0" w:noVBand="1" w:val="04A0"/>
            </w:tblPr>
            <w:tblGrid>
              <w:gridCol w:w="2353"/>
              <w:gridCol w:w="2353"/>
            </w:tblGrid>
            <w:tr>
              <w:tc>
                <w:tcPr>
                  <w:tcW w:type="dxa" w:w="2353"/>
                  <w:shd w:fill="ED7D31"/>
                </w:tcPr>
                <w:p>
                  <w:pPr>
                    <w:jc w:val="center"/>
                  </w:pPr>
                  <w:r>
                    <w:rPr>
                      <w:rFonts w:ascii="Cambria" w:hAnsi="Cambria" w:eastAsia="Cambria"/>
                      <w:b/>
                      <w:i w:val="0"/>
                      <w:color w:val="FFFFFF"/>
                      <w:sz w:val="17"/>
                    </w:rPr>
                    <w:t>Hạng mục</w:t>
                  </w:r>
                </w:p>
              </w:tc>
              <w:tc>
                <w:tcPr>
                  <w:tcW w:type="dxa" w:w="2353"/>
                  <w:shd w:fill="ED7D31"/>
                </w:tcPr>
                <w:p>
                  <w:pPr>
                    <w:jc w:val="center"/>
                  </w:pPr>
                  <w:r>
                    <w:rPr>
                      <w:rFonts w:ascii="Cambria" w:hAnsi="Cambria" w:eastAsia="Cambria"/>
                      <w:b/>
                      <w:i w:val="0"/>
                      <w:color w:val="FFFFFF"/>
                      <w:sz w:val="17"/>
                    </w:rPr>
                    <w:t>Ngân sách</w:t>
                  </w:r>
                </w:p>
              </w:tc>
            </w:tr>
            <w:tr>
              <w:tc>
                <w:tcPr>
                  <w:tcW w:type="dxa" w:w="2353"/>
                  <w:tcMar>
                    <w:top w:w="55" w:type="dxa"/>
                    <w:left w:w="60" w:type="dxa"/>
                    <w:bottom w:w="55" w:type="dxa"/>
                    <w:right w:w="60" w:type="dxa"/>
                  </w:tcMar>
                </w:tcPr>
                <w:p>
                  <w:pPr>
                    <w:jc w:val="left"/>
                  </w:pPr>
                  <w:r>
                    <w:rPr>
                      <w:rFonts w:ascii="Cambria" w:hAnsi="Cambria" w:eastAsia="Cambria"/>
                      <w:b w:val="0"/>
                      <w:i w:val="0"/>
                      <w:color w:val="333333"/>
                      <w:sz w:val="17"/>
                    </w:rPr>
                    <w:t>Phí giảng viên &amp; bản quyền</w:t>
                  </w:r>
                </w:p>
              </w:tc>
              <w:tc>
                <w:tcPr>
                  <w:tcW w:type="dxa" w:w="2353"/>
                  <w:tcMar>
                    <w:top w:w="55" w:type="dxa"/>
                    <w:left w:w="60" w:type="dxa"/>
                    <w:bottom w:w="55" w:type="dxa"/>
                    <w:right w:w="60" w:type="dxa"/>
                  </w:tcMar>
                </w:tcPr>
                <w:p>
                  <w:pPr>
                    <w:jc w:val="center"/>
                  </w:pPr>
                  <w:r>
                    <w:rPr>
                      <w:rFonts w:ascii="Cambria" w:hAnsi="Cambria" w:eastAsia="Cambria"/>
                      <w:b w:val="0"/>
                      <w:i w:val="0"/>
                      <w:color w:val="333333"/>
                      <w:sz w:val="17"/>
                    </w:rPr>
                    <w:t>230 triệu</w:t>
                  </w:r>
                </w:p>
              </w:tc>
            </w:tr>
            <w:tr>
              <w:tc>
                <w:tcPr>
                  <w:tcW w:type="dxa" w:w="2353"/>
                  <w:shd w:fill="F7FAFC"/>
                  <w:tcMar>
                    <w:top w:w="55" w:type="dxa"/>
                    <w:left w:w="60" w:type="dxa"/>
                    <w:bottom w:w="55" w:type="dxa"/>
                    <w:right w:w="60" w:type="dxa"/>
                  </w:tcMar>
                </w:tcPr>
                <w:p>
                  <w:pPr>
                    <w:jc w:val="left"/>
                  </w:pPr>
                  <w:r>
                    <w:rPr>
                      <w:rFonts w:ascii="Cambria" w:hAnsi="Cambria" w:eastAsia="Cambria"/>
                      <w:b w:val="0"/>
                      <w:i w:val="0"/>
                      <w:color w:val="333333"/>
                      <w:sz w:val="17"/>
                    </w:rPr>
                    <w:t>Phòng học/thiết bị/mô phỏng</w:t>
                  </w:r>
                </w:p>
              </w:tc>
              <w:tc>
                <w:tcPr>
                  <w:tcW w:type="dxa" w:w="2353"/>
                  <w:shd w:fill="F7FAFC"/>
                  <w:tcMar>
                    <w:top w:w="55" w:type="dxa"/>
                    <w:left w:w="60" w:type="dxa"/>
                    <w:bottom w:w="55" w:type="dxa"/>
                    <w:right w:w="60" w:type="dxa"/>
                  </w:tcMar>
                </w:tcPr>
                <w:p>
                  <w:pPr>
                    <w:jc w:val="center"/>
                  </w:pPr>
                  <w:r>
                    <w:rPr>
                      <w:rFonts w:ascii="Cambria" w:hAnsi="Cambria" w:eastAsia="Cambria"/>
                      <w:b w:val="0"/>
                      <w:i w:val="0"/>
                      <w:color w:val="333333"/>
                      <w:sz w:val="17"/>
                    </w:rPr>
                    <w:t>82 triệu</w:t>
                  </w:r>
                </w:p>
              </w:tc>
            </w:tr>
            <w:tr>
              <w:tc>
                <w:tcPr>
                  <w:tcW w:type="dxa" w:w="2353"/>
                  <w:tcMar>
                    <w:top w:w="55" w:type="dxa"/>
                    <w:left w:w="60" w:type="dxa"/>
                    <w:bottom w:w="55" w:type="dxa"/>
                    <w:right w:w="60" w:type="dxa"/>
                  </w:tcMar>
                </w:tcPr>
                <w:p>
                  <w:pPr>
                    <w:jc w:val="left"/>
                  </w:pPr>
                  <w:r>
                    <w:rPr>
                      <w:rFonts w:ascii="Cambria" w:hAnsi="Cambria" w:eastAsia="Cambria"/>
                      <w:b w:val="0"/>
                      <w:i w:val="0"/>
                      <w:color w:val="333333"/>
                      <w:sz w:val="17"/>
                    </w:rPr>
                    <w:t>Tài liệu &amp; LMS</w:t>
                  </w:r>
                </w:p>
              </w:tc>
              <w:tc>
                <w:tcPr>
                  <w:tcW w:type="dxa" w:w="2353"/>
                  <w:tcMar>
                    <w:top w:w="55" w:type="dxa"/>
                    <w:left w:w="60" w:type="dxa"/>
                    <w:bottom w:w="55" w:type="dxa"/>
                    <w:right w:w="60" w:type="dxa"/>
                  </w:tcMar>
                </w:tcPr>
                <w:p>
                  <w:pPr>
                    <w:jc w:val="center"/>
                  </w:pPr>
                  <w:r>
                    <w:rPr>
                      <w:rFonts w:ascii="Cambria" w:hAnsi="Cambria" w:eastAsia="Cambria"/>
                      <w:b w:val="0"/>
                      <w:i w:val="0"/>
                      <w:color w:val="333333"/>
                      <w:sz w:val="17"/>
                    </w:rPr>
                    <w:t>58 triệu</w:t>
                  </w:r>
                </w:p>
              </w:tc>
            </w:tr>
            <w:tr>
              <w:tc>
                <w:tcPr>
                  <w:tcW w:type="dxa" w:w="2353"/>
                  <w:shd w:fill="F7FAFC"/>
                  <w:tcMar>
                    <w:top w:w="55" w:type="dxa"/>
                    <w:left w:w="60" w:type="dxa"/>
                    <w:bottom w:w="55" w:type="dxa"/>
                    <w:right w:w="60" w:type="dxa"/>
                  </w:tcMar>
                </w:tcPr>
                <w:p>
                  <w:pPr>
                    <w:jc w:val="left"/>
                  </w:pPr>
                  <w:r>
                    <w:rPr>
                      <w:rFonts w:ascii="Cambria" w:hAnsi="Cambria" w:eastAsia="Cambria"/>
                      <w:b w:val="0"/>
                      <w:i w:val="0"/>
                      <w:color w:val="333333"/>
                      <w:sz w:val="17"/>
                    </w:rPr>
                    <w:t>Chi phí dự án thực hành</w:t>
                  </w:r>
                </w:p>
              </w:tc>
              <w:tc>
                <w:tcPr>
                  <w:tcW w:type="dxa" w:w="2353"/>
                  <w:shd w:fill="F7FAFC"/>
                  <w:tcMar>
                    <w:top w:w="55" w:type="dxa"/>
                    <w:left w:w="60" w:type="dxa"/>
                    <w:bottom w:w="55" w:type="dxa"/>
                    <w:right w:w="60" w:type="dxa"/>
                  </w:tcMar>
                </w:tcPr>
                <w:p>
                  <w:pPr>
                    <w:jc w:val="center"/>
                  </w:pPr>
                  <w:r>
                    <w:rPr>
                      <w:rFonts w:ascii="Cambria" w:hAnsi="Cambria" w:eastAsia="Cambria"/>
                      <w:b w:val="0"/>
                      <w:i w:val="0"/>
                      <w:color w:val="333333"/>
                      <w:sz w:val="17"/>
                    </w:rPr>
                    <w:t>96 triệu</w:t>
                  </w:r>
                </w:p>
              </w:tc>
            </w:tr>
            <w:tr>
              <w:tc>
                <w:tcPr>
                  <w:tcW w:type="dxa" w:w="2353"/>
                  <w:tcMar>
                    <w:top w:w="55" w:type="dxa"/>
                    <w:left w:w="60" w:type="dxa"/>
                    <w:bottom w:w="55" w:type="dxa"/>
                    <w:right w:w="60" w:type="dxa"/>
                  </w:tcMar>
                </w:tcPr>
                <w:p>
                  <w:pPr>
                    <w:jc w:val="left"/>
                  </w:pPr>
                  <w:r>
                    <w:rPr>
                      <w:rFonts w:ascii="Cambria" w:hAnsi="Cambria" w:eastAsia="Cambria"/>
                      <w:b w:val="0"/>
                      <w:i w:val="0"/>
                      <w:color w:val="333333"/>
                      <w:sz w:val="17"/>
                    </w:rPr>
                    <w:t>Dự phòng</w:t>
                  </w:r>
                </w:p>
              </w:tc>
              <w:tc>
                <w:tcPr>
                  <w:tcW w:type="dxa" w:w="2353"/>
                  <w:tcMar>
                    <w:top w:w="55" w:type="dxa"/>
                    <w:left w:w="60" w:type="dxa"/>
                    <w:bottom w:w="55" w:type="dxa"/>
                    <w:right w:w="60" w:type="dxa"/>
                  </w:tcMar>
                </w:tcPr>
                <w:p>
                  <w:pPr>
                    <w:jc w:val="center"/>
                  </w:pPr>
                  <w:r>
                    <w:rPr>
                      <w:rFonts w:ascii="Cambria" w:hAnsi="Cambria" w:eastAsia="Cambria"/>
                      <w:b w:val="0"/>
                      <w:i w:val="0"/>
                      <w:color w:val="333333"/>
                      <w:sz w:val="17"/>
                    </w:rPr>
                    <w:t>82 triệu</w:t>
                  </w:r>
                </w:p>
              </w:tc>
            </w:tr>
          </w:tbl>
          <w:p/>
        </w:tc>
        <w:tc>
          <w:tcPr>
            <w:tcW w:type="dxa" w:w="5272"/>
            <w:tcMar>
              <w:top w:w="80" w:type="dxa"/>
              <w:left w:w="80" w:type="dxa"/>
              <w:bottom w:w="80" w:type="dxa"/>
              <w:right w:w="80" w:type="dxa"/>
            </w:tcMar>
            <w:tcBorders>
              <w:top w:val="single" w:sz="4" w:color="D9E2F3"/>
              <w:left w:val="single" w:sz="4" w:color="D9E2F3"/>
              <w:bottom w:val="single" w:sz="4" w:color="D9E2F3"/>
              <w:right w:val="single" w:sz="4" w:color="D9E2F3"/>
            </w:tcBorders>
          </w:tcPr>
          <w:p>
            <w:pPr>
              <w:jc w:val="center"/>
            </w:pPr>
            <w:r>
              <w:drawing>
                <wp:inline xmlns:a="http://schemas.openxmlformats.org/drawingml/2006/main" xmlns:pic="http://schemas.openxmlformats.org/drawingml/2006/picture">
                  <wp:extent cx="3168000" cy="2107834"/>
                  <wp:docPr id="2" name="Picture 2"/>
                  <wp:cNvGraphicFramePr>
                    <a:graphicFrameLocks noChangeAspect="1"/>
                  </wp:cNvGraphicFramePr>
                  <a:graphic>
                    <a:graphicData uri="http://schemas.openxmlformats.org/drawingml/2006/picture">
                      <pic:pic>
                        <pic:nvPicPr>
                          <pic:cNvPr id="0" name="approval_budget.png"/>
                          <pic:cNvPicPr/>
                        </pic:nvPicPr>
                        <pic:blipFill>
                          <a:blip r:embed="rId12"/>
                          <a:stretch>
                            <a:fillRect/>
                          </a:stretch>
                        </pic:blipFill>
                        <pic:spPr>
                          <a:xfrm>
                            <a:off x="0" y="0"/>
                            <a:ext cx="3168000" cy="2107834"/>
                          </a:xfrm>
                          <a:prstGeom prst="rect"/>
                        </pic:spPr>
                      </pic:pic>
                    </a:graphicData>
                  </a:graphic>
                </wp:inline>
              </w:drawing>
            </w:r>
          </w:p>
        </w:tc>
      </w:tr>
    </w:tbl>
    <w:tbl>
      <w:tblPr>
        <w:tblW w:type="auto" w:w="0"/>
        <w:jc w:val="center"/>
        <w:tblLayout w:type="fixed"/>
        <w:tblLook w:firstColumn="1" w:firstRow="1" w:lastColumn="0" w:lastRow="0" w:noHBand="0" w:noVBand="1" w:val="04A0"/>
      </w:tblPr>
      <w:tblGrid>
        <w:gridCol w:w="3494"/>
        <w:gridCol w:w="3494"/>
        <w:gridCol w:w="3494"/>
      </w:tblGrid>
      <w:tr>
        <w:trPr>
          <w:tblHeader w:val="true"/>
          <w:cantSplit/>
        </w:trPr>
        <w:tc>
          <w:tcPr>
            <w:tcW w:type="dxa" w:w="2324"/>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Nguồn lực</w:t>
            </w:r>
          </w:p>
        </w:tc>
        <w:tc>
          <w:tcPr>
            <w:tcW w:type="dxa" w:w="2324"/>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Số lượng/định mức</w:t>
            </w:r>
          </w:p>
        </w:tc>
        <w:tc>
          <w:tcPr>
            <w:tcW w:type="dxa" w:w="5216"/>
            <w:shd w:fill="ED7D3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Trách nhiệm</w:t>
            </w:r>
          </w:p>
        </w:tc>
      </w:tr>
      <w:tr>
        <w:trPr>
          <w:cantSplit/>
        </w:trPr>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Giảng viên chính</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02 chuyên gia LeanPro</w:t>
            </w:r>
          </w:p>
        </w:tc>
        <w:tc>
          <w:tcPr>
            <w:tcW w:type="dxa" w:w="5216"/>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Thiết kế và giảng dạy M1–M5</w:t>
            </w:r>
          </w:p>
        </w:tc>
      </w:tr>
      <w:tr>
        <w:trPr>
          <w:cantSplit/>
        </w:trPr>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Giảng viên nội bộ</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04 người</w:t>
            </w:r>
          </w:p>
        </w:tc>
        <w:tc>
          <w:tcPr>
            <w:tcW w:type="dxa" w:w="5216"/>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Case thực tế, coaching tại nhà máy</w:t>
            </w:r>
          </w:p>
        </w:tc>
      </w:tr>
      <w:tr>
        <w:trPr>
          <w:cantSplit/>
        </w:trPr>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Điều phối L&amp;D</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02 người</w:t>
            </w:r>
          </w:p>
        </w:tc>
        <w:tc>
          <w:tcPr>
            <w:tcW w:type="dxa" w:w="5216"/>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Lịch, phòng, tài liệu, hồ sơ</w:t>
            </w:r>
          </w:p>
        </w:tc>
      </w:tr>
      <w:tr>
        <w:trPr>
          <w:cantSplit/>
        </w:trPr>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Quản lý bảo trợ</w:t>
            </w:r>
          </w:p>
        </w:tc>
        <w:tc>
          <w:tcPr>
            <w:tcW w:type="dxa" w:w="232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12 người</w:t>
            </w:r>
          </w:p>
        </w:tc>
        <w:tc>
          <w:tcPr>
            <w:tcW w:type="dxa" w:w="5216"/>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Duyệt dự án và xác nhận ứng dụng</w:t>
            </w:r>
          </w:p>
        </w:tc>
      </w:tr>
      <w:tr>
        <w:trPr>
          <w:cantSplit/>
        </w:trPr>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Phòng học mô phỏng</w:t>
            </w:r>
          </w:p>
        </w:tc>
        <w:tc>
          <w:tcPr>
            <w:tcW w:type="dxa" w:w="232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02 phòng, 24 chỗ/phòng</w:t>
            </w:r>
          </w:p>
        </w:tc>
        <w:tc>
          <w:tcPr>
            <w:tcW w:type="dxa" w:w="5216"/>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Bảng ca, bộ mô phỏng Lean, thiết bị quay video</w:t>
            </w:r>
          </w:p>
        </w:tc>
      </w:tr>
    </w:tbl>
    <w:p>
      <w:r>
        <w:br w:type="page"/>
      </w:r>
    </w:p>
    <w:p>
      <w:pPr>
        <w:pStyle w:val="Heading1"/>
      </w:pPr>
      <w:r>
        <w:t>7. Kế hoạch đánh giá</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2268"/>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Cấp độ</w:t>
            </w:r>
          </w:p>
        </w:tc>
        <w:tc>
          <w:tcPr>
            <w:tcW w:type="dxa" w:w="2948"/>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Công cụ</w:t>
            </w:r>
          </w:p>
        </w:tc>
        <w:tc>
          <w:tcPr>
            <w:tcW w:type="dxa" w:w="1984"/>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Thời điểm</w:t>
            </w:r>
          </w:p>
        </w:tc>
        <w:tc>
          <w:tcPr>
            <w:tcW w:type="dxa" w:w="2835"/>
            <w:shd w:fill="4472C4"/>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7"/>
              </w:rPr>
              <w:t>Tiêu chuẩn</w:t>
            </w:r>
          </w:p>
        </w:tc>
      </w:tr>
      <w:tr>
        <w:trPr>
          <w:cantSplit/>
        </w:trPr>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Kirkpatrick 1 – Phản ứng</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Phiếu đánh giá đào tạo</w:t>
            </w:r>
          </w:p>
        </w:tc>
        <w:tc>
          <w:tcPr>
            <w:tcW w:type="dxa" w:w="198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Cuối mỗi lớp</w:t>
            </w:r>
          </w:p>
        </w:tc>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Điểm trung bình ≥ 4,3/5; eNPS ≥ 50</w:t>
            </w:r>
          </w:p>
        </w:tc>
      </w:tr>
      <w:tr>
        <w:trPr>
          <w:cantSplit/>
        </w:trPr>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Kirkpatrick 2 – Học tập</w:t>
            </w:r>
          </w:p>
        </w:tc>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Pre-test, post-test, bài A3</w:t>
            </w:r>
          </w:p>
        </w:tc>
        <w:tc>
          <w:tcPr>
            <w:tcW w:type="dxa" w:w="198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Trước/sau lớp</w:t>
            </w:r>
          </w:p>
        </w:tc>
        <w:tc>
          <w:tcPr>
            <w:tcW w:type="dxa" w:w="283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Điểm sau ≥ 80; tăng tối thiểu 15 điểm</w:t>
            </w:r>
          </w:p>
        </w:tc>
      </w:tr>
      <w:tr>
        <w:trPr>
          <w:cantSplit/>
        </w:trPr>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Kirkpatrick 3 – Hành vi</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Phiếu đánh giá quản lý trực tiếp</w:t>
            </w:r>
          </w:p>
        </w:tc>
        <w:tc>
          <w:tcPr>
            <w:tcW w:type="dxa" w:w="198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60–90 ngày</w:t>
            </w:r>
          </w:p>
        </w:tc>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Mức chuyển giao ≥ 75%</w:t>
            </w:r>
          </w:p>
        </w:tc>
      </w:tr>
      <w:tr>
        <w:trPr>
          <w:cantSplit/>
        </w:trPr>
        <w:tc>
          <w:tcPr>
            <w:tcW w:type="dxa" w:w="226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Kirkpatrick 4 – Kết quả</w:t>
            </w:r>
          </w:p>
        </w:tc>
        <w:tc>
          <w:tcPr>
            <w:tcW w:type="dxa" w:w="294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KPI dự án và dữ liệu vận hành</w:t>
            </w:r>
          </w:p>
        </w:tc>
        <w:tc>
          <w:tcPr>
            <w:tcW w:type="dxa" w:w="1984"/>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90–120 ngày</w:t>
            </w:r>
          </w:p>
        </w:tc>
        <w:tc>
          <w:tcPr>
            <w:tcW w:type="dxa" w:w="2835"/>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Ít nhất 70% dự án đạt KPI</w:t>
            </w:r>
          </w:p>
        </w:tc>
      </w:tr>
      <w:tr>
        <w:trPr>
          <w:cantSplit/>
        </w:trPr>
        <w:tc>
          <w:tcPr>
            <w:tcW w:type="dxa" w:w="226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ROI</w:t>
            </w:r>
          </w:p>
        </w:tc>
        <w:tc>
          <w:tcPr>
            <w:tcW w:type="dxa" w:w="294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Lợi ích quy đổi và chi phí thực tế</w:t>
            </w:r>
          </w:p>
        </w:tc>
        <w:tc>
          <w:tcPr>
            <w:tcW w:type="dxa" w:w="1984"/>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Sau 120 ngày</w:t>
            </w:r>
          </w:p>
        </w:tc>
        <w:tc>
          <w:tcPr>
            <w:tcW w:type="dxa" w:w="2835"/>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7"/>
              </w:rPr>
              <w:t>ROI dương; mục tiêu ≥ 100%</w:t>
            </w:r>
          </w:p>
        </w:tc>
      </w:tr>
    </w:tbl>
    <w:p>
      <w:pPr>
        <w:pStyle w:val="Heading1"/>
      </w:pPr>
      <w:r>
        <w:t>8. Rủi ro và biện pháp kiểm soát</w:t>
      </w:r>
    </w:p>
    <w:tbl>
      <w:tblPr>
        <w:tblW w:type="auto" w:w="0"/>
        <w:jc w:val="center"/>
        <w:tblLayout w:type="fixed"/>
        <w:tblLook w:firstColumn="1" w:firstRow="1" w:lastColumn="0" w:lastRow="0" w:noHBand="0" w:noVBand="1" w:val="04A0"/>
      </w:tblPr>
      <w:tblGrid>
        <w:gridCol w:w="2620"/>
        <w:gridCol w:w="2620"/>
        <w:gridCol w:w="2620"/>
        <w:gridCol w:w="2620"/>
      </w:tblGrid>
      <w:tr>
        <w:trPr>
          <w:tblHeader w:val="true"/>
          <w:cantSplit/>
        </w:trPr>
        <w:tc>
          <w:tcPr>
            <w:tcW w:type="dxa" w:w="2438"/>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Rủi ro</w:t>
            </w:r>
          </w:p>
        </w:tc>
        <w:tc>
          <w:tcPr>
            <w:tcW w:type="dxa" w:w="1361"/>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Mức độ</w:t>
            </w:r>
          </w:p>
        </w:tc>
        <w:tc>
          <w:tcPr>
            <w:tcW w:type="dxa" w:w="4422"/>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Biện pháp kiểm soát</w:t>
            </w:r>
          </w:p>
        </w:tc>
        <w:tc>
          <w:tcPr>
            <w:tcW w:type="dxa" w:w="1757"/>
            <w:shd w:fill="C55A11"/>
            <w:tcMar>
              <w:top w:w="70" w:type="dxa"/>
              <w:left w:w="75" w:type="dxa"/>
              <w:bottom w:w="70" w:type="dxa"/>
              <w:right w:w="75" w:type="dxa"/>
            </w:tcMar>
            <w:vAlign w:val="center"/>
            <w:tcBorders>
              <w:top w:val="single" w:sz="4" w:space="0" w:color="B7C9D6"/>
              <w:left w:val="single" w:sz="4" w:space="0" w:color="B7C9D6"/>
              <w:bottom w:val="single" w:sz="4" w:space="0" w:color="B7C9D6"/>
              <w:right w:val="single" w:sz="4" w:space="0" w:color="B7C9D6"/>
            </w:tcBorders>
          </w:tcPr>
          <w:p>
            <w:pPr>
              <w:jc w:val="center"/>
            </w:pPr>
            <w:r/>
            <w:r>
              <w:rPr>
                <w:rFonts w:ascii="Cambria" w:hAnsi="Cambria" w:eastAsia="Cambria"/>
                <w:b/>
                <w:i w:val="0"/>
                <w:color w:val="FFFFFF"/>
                <w:sz w:val="16"/>
              </w:rPr>
              <w:t>Chủ sở hữu</w:t>
            </w:r>
          </w:p>
        </w:tc>
      </w:tr>
      <w:tr>
        <w:trPr>
          <w:cantSplit/>
        </w:trPr>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Học viên vắng do kế hoạch sản xuất</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Cao</w:t>
            </w:r>
          </w:p>
        </w:tc>
        <w:tc>
          <w:tcPr>
            <w:tcW w:type="dxa" w:w="442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Chốt lịch trước 30 ngày; bố trí lớp bù; cam kết của Plant Manager</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Khối Vận hành</w:t>
            </w:r>
          </w:p>
        </w:tc>
      </w:tr>
      <w:tr>
        <w:trPr>
          <w:cantSplit/>
        </w:trPr>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Dự án ứng dụng thiếu dữ liệu</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Trung bình</w:t>
            </w:r>
          </w:p>
        </w:tc>
        <w:tc>
          <w:tcPr>
            <w:tcW w:type="dxa" w:w="442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Cấp bộ dữ liệu chuẩn; Data Owner hỗ trợ; review sau 30 ngày</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L&amp;D/CI</w:t>
            </w:r>
          </w:p>
        </w:tc>
      </w:tr>
      <w:tr>
        <w:trPr>
          <w:cantSplit/>
        </w:trPr>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Nội dung xa thực tế</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Trung bình</w:t>
            </w:r>
          </w:p>
        </w:tc>
        <w:tc>
          <w:tcPr>
            <w:tcW w:type="dxa" w:w="442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Dùng 06 case DAVIMEC; giảng viên nội bộ đồng dẫn</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Program Owner</w:t>
            </w:r>
          </w:p>
        </w:tc>
      </w:tr>
      <w:tr>
        <w:trPr>
          <w:cantSplit/>
        </w:trPr>
        <w:tc>
          <w:tcPr>
            <w:tcW w:type="dxa" w:w="2438"/>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KPI bị ảnh hưởng bởi yếu tố ngoài đào tạo</w:t>
            </w:r>
          </w:p>
        </w:tc>
        <w:tc>
          <w:tcPr>
            <w:tcW w:type="dxa" w:w="1361"/>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Trung bình</w:t>
            </w:r>
          </w:p>
        </w:tc>
        <w:tc>
          <w:tcPr>
            <w:tcW w:type="dxa" w:w="4422"/>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Thống nhất baseline, nhóm đối chứng và giả định quy đổi</w:t>
            </w:r>
          </w:p>
        </w:tc>
        <w:tc>
          <w:tcPr>
            <w:tcW w:type="dxa" w:w="1757"/>
            <w:shd w:fill="F7FAFC"/>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Finance BP</w:t>
            </w:r>
          </w:p>
        </w:tc>
      </w:tr>
      <w:tr>
        <w:trPr>
          <w:cantSplit/>
        </w:trPr>
        <w:tc>
          <w:tcPr>
            <w:tcW w:type="dxa" w:w="2438"/>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Chứng từ/biên bản không đầy đủ</w:t>
            </w:r>
          </w:p>
        </w:tc>
        <w:tc>
          <w:tcPr>
            <w:tcW w:type="dxa" w:w="1361"/>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Thấp</w:t>
            </w:r>
          </w:p>
        </w:tc>
        <w:tc>
          <w:tcPr>
            <w:tcW w:type="dxa" w:w="4422"/>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Checklist, mã hồ sơ, lưu trên DMS trong 05 ngày làm việc</w:t>
            </w:r>
          </w:p>
        </w:tc>
        <w:tc>
          <w:tcPr>
            <w:tcW w:type="dxa" w:w="1757"/>
            <w:tcMar>
              <w:top w:w="65" w:type="dxa"/>
              <w:left w:w="70" w:type="dxa"/>
              <w:bottom w:w="65" w:type="dxa"/>
              <w:right w:w="70" w:type="dxa"/>
            </w:tcMar>
            <w:vAlign w:val="center"/>
            <w:tcBorders>
              <w:top w:val="single" w:sz="4" w:space="0" w:color="B7C9D6"/>
              <w:left w:val="single" w:sz="4" w:space="0" w:color="B7C9D6"/>
              <w:bottom w:val="single" w:sz="4" w:space="0" w:color="B7C9D6"/>
              <w:right w:val="single" w:sz="4" w:space="0" w:color="B7C9D6"/>
            </w:tcBorders>
          </w:tcPr>
          <w:p>
            <w:pPr>
              <w:jc w:val="left"/>
            </w:pPr>
            <w:r/>
            <w:r>
              <w:rPr>
                <w:rFonts w:ascii="Cambria" w:hAnsi="Cambria" w:eastAsia="Cambria"/>
                <w:b w:val="0"/>
                <w:i w:val="0"/>
                <w:color w:val="333333"/>
                <w:sz w:val="16"/>
              </w:rPr>
              <w:t>Training Coordinator</w:t>
            </w:r>
          </w:p>
        </w:tc>
      </w:tr>
    </w:tbl>
    <w:p>
      <w:pPr>
        <w:pStyle w:val="Heading1"/>
      </w:pPr>
      <w:r>
        <w:t>9. Phê duyệt hồ sơ chương trình</w:t>
      </w:r>
    </w:p>
    <w:tbl>
      <w:tblPr>
        <w:tblW w:type="auto" w:w="0"/>
        <w:jc w:val="center"/>
        <w:tblLook w:firstColumn="1" w:firstRow="1" w:lastColumn="0" w:lastRow="0" w:noHBand="0" w:noVBand="1" w:val="04A0"/>
      </w:tblPr>
      <w:tblGrid>
        <w:gridCol w:w="2620"/>
        <w:gridCol w:w="2620"/>
        <w:gridCol w:w="2620"/>
        <w:gridCol w:w="2620"/>
      </w:tblGrid>
      <w:tr>
        <w:tc>
          <w:tcPr>
            <w:tcW w:type="dxa" w:w="2620"/>
            <w:shd w:fill="D9EAF7"/>
          </w:tcPr>
          <w:p>
            <w:pPr>
              <w:jc w:val="center"/>
            </w:pPr>
            <w:r>
              <w:rPr>
                <w:rFonts w:ascii="Cambria" w:hAnsi="Cambria" w:eastAsia="Cambria"/>
                <w:b/>
                <w:i w:val="0"/>
                <w:color w:val="1F4E79"/>
                <w:sz w:val="18"/>
              </w:rPr>
              <w:t>Người lập</w:t>
              <w:br/>
              <w:t>Learning Partner</w:t>
            </w:r>
          </w:p>
        </w:tc>
        <w:tc>
          <w:tcPr>
            <w:tcW w:type="dxa" w:w="2620"/>
            <w:shd w:fill="D9EAF7"/>
          </w:tcPr>
          <w:p>
            <w:pPr>
              <w:jc w:val="center"/>
            </w:pPr>
            <w:r>
              <w:rPr>
                <w:rFonts w:ascii="Cambria" w:hAnsi="Cambria" w:eastAsia="Cambria"/>
                <w:b/>
                <w:i w:val="0"/>
                <w:color w:val="1F4E79"/>
                <w:sz w:val="18"/>
              </w:rPr>
              <w:t>Chủ sở hữu</w:t>
              <w:br/>
              <w:t>Giám đốc L&amp;D</w:t>
            </w:r>
          </w:p>
        </w:tc>
        <w:tc>
          <w:tcPr>
            <w:tcW w:type="dxa" w:w="2620"/>
            <w:shd w:fill="D9EAF7"/>
          </w:tcPr>
          <w:p>
            <w:pPr>
              <w:jc w:val="center"/>
            </w:pPr>
            <w:r>
              <w:rPr>
                <w:rFonts w:ascii="Cambria" w:hAnsi="Cambria" w:eastAsia="Cambria"/>
                <w:b/>
                <w:i w:val="0"/>
                <w:color w:val="1F4E79"/>
                <w:sz w:val="18"/>
              </w:rPr>
              <w:t>Đơn vị yêu cầu</w:t>
              <w:br/>
              <w:t>Giám đốc Vận hành</w:t>
            </w:r>
          </w:p>
        </w:tc>
        <w:tc>
          <w:tcPr>
            <w:tcW w:type="dxa" w:w="2620"/>
            <w:shd w:fill="D9EAF7"/>
          </w:tcPr>
          <w:p>
            <w:pPr>
              <w:jc w:val="center"/>
            </w:pPr>
            <w:r>
              <w:rPr>
                <w:rFonts w:ascii="Cambria" w:hAnsi="Cambria" w:eastAsia="Cambria"/>
                <w:b/>
                <w:i w:val="0"/>
                <w:color w:val="1F4E79"/>
                <w:sz w:val="18"/>
              </w:rPr>
              <w:t>Phê duyệt</w:t>
              <w:br/>
              <w:t>CHRO</w:t>
            </w:r>
          </w:p>
        </w:tc>
      </w:tr>
      <w:tr>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c>
          <w:tcPr>
            <w:tcW w:type="dxa" w:w="2620"/>
            <w:tcMar>
              <w:top w:w="80" w:type="dxa"/>
              <w:left w:w="80" w:type="dxa"/>
              <w:bottom w:w="80" w:type="dxa"/>
              <w:right w:w="80" w:type="dxa"/>
            </w:tcMar>
          </w:tcPr>
          <w:p>
            <w:pPr>
              <w:jc w:val="center"/>
            </w:pPr>
            <w:r>
              <w:rPr>
                <w:rFonts w:ascii="Cambria" w:hAnsi="Cambria" w:eastAsia="Cambria"/>
                <w:b w:val="0"/>
                <w:i w:val="0"/>
                <w:color w:val="666666"/>
                <w:sz w:val="17"/>
              </w:rPr>
              <w:br/>
              <w:br/>
              <w:br/>
              <w:t>Họ tên: ................................</w:t>
              <w:br/>
              <w:t>Ngày: ....../....../........</w:t>
            </w:r>
          </w:p>
        </w:tc>
      </w:tr>
    </w:tbl>
    <w:sectPr w:rsidR="00FC693F" w:rsidRPr="0006063C" w:rsidSect="00034616">
      <w:headerReference w:type="default" r:id="rId9"/>
      <w:footerReference w:type="default" r:id="rId10"/>
      <w:pgSz w:w="12240" w:h="15840"/>
      <w:pgMar w:top="879" w:right="879" w:bottom="879"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center"/>
    </w:pPr>
    <w:r>
      <w:rPr>
        <w:rFonts w:ascii="Cambria" w:hAnsi="Cambria" w:eastAsia="Cambria"/>
        <w:b/>
        <w:i w:val="0"/>
        <w:color w:val="1F4E79"/>
        <w:sz w:val="20"/>
      </w:rPr>
      <w:t>TÀI LIỆU CỦA HỌC VIỆN MASTERSKILLS</w:t>
      <w:br/>
    </w:r>
    <w:r>
      <w:rPr>
        <w:rFonts w:ascii="Cambria" w:hAnsi="Cambria" w:eastAsia="Cambria"/>
        <w:b w:val="0"/>
        <w:i w:val="0"/>
        <w:color w:val="1F4E79"/>
        <w:sz w:val="20"/>
      </w:rPr>
      <w:t>Website: www.Masterskills.org | Email: info@Masterskills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center"/>
    </w:pPr>
    <w:r>
      <w:rPr>
        <w:rFonts w:ascii="Cambria" w:hAnsi="Cambria" w:eastAsia="Cambria"/>
        <w:b/>
        <w:i w:val="0"/>
        <w:color w:val="1F4E79"/>
        <w:sz w:val="20"/>
      </w:rPr>
      <w:t>MASTERSKILLS</w:t>
      <w:br/>
    </w:r>
    <w:r>
      <w:rPr>
        <w:rFonts w:ascii="Cambria" w:hAnsi="Cambria" w:eastAsia="Cambria"/>
        <w:b w:val="0"/>
        <w:i w:val="0"/>
        <w:color w:val="1F4E79"/>
        <w:sz w:val="20"/>
      </w:rPr>
      <w:t>HỒ SƠ CHƯƠNG TRÌNH ĐÀO TẠO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proofState w:spelling="clean" w:grammar="clean"/>
  <w:defaultTabStop w:val="720"/>
  <w:characterSpacingControl w:val="doNotCompress"/>
  <w:savePreviewPicture/>
  <w:compat>
    <w:useFELayout/>
    <w:compatSetting w:name="compatibilityMode" w:uri="http://schemas.microsoft.com/office/word" w:val="12"/>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Cambria" w:hAnsi="Cambria" w:eastAsia="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mbria" w:hAnsi="Cambria" w:eastAsia="Cambria"/>
      <w:b/>
      <w:bCs/>
      <w:color w:val="2F5597"/>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Cambria" w:hAnsi="Cambria" w:eastAsia="Cambria"/>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mbria" w:hAnsi="Cambria" w:eastAsia="Cambria"/>
      <w:b/>
      <w:bCs/>
      <w:color w:val="2F559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2F559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2013-12-23T23:15:00Z</dcterms:created>
  <dcterms:modified xsi:type="dcterms:W3CDTF">2013-12-23T23:15:00Z</dcterms:modified>
  <cp:category/>
</cp:coreProperties>
</file>