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60" w:after="80" w:line="240" w:lineRule="auto"/>
        <w:jc w:val="center"/>
      </w:pPr>
      <w:r>
        <w:rPr>
          <w:rFonts w:ascii="Cambria" w:hAnsi="Cambria" w:eastAsia="Cambria"/>
          <w:b/>
          <w:i w:val="0"/>
          <w:color w:val="C55A11"/>
          <w:sz w:val="36"/>
        </w:rPr>
        <w:t>PHIẾU PHÊ DUYỆT ĐÀO TẠO</w:t>
      </w:r>
    </w:p>
    <w:p>
      <w:pPr>
        <w:keepNext w:val="0"/>
        <w:spacing w:before="0" w:after="80" w:line="259" w:lineRule="auto"/>
        <w:jc w:val="center"/>
      </w:pPr>
      <w:r>
        <w:rPr>
          <w:rFonts w:ascii="Cambria" w:hAnsi="Cambria" w:eastAsia="Cambria"/>
          <w:b/>
          <w:i w:val="0"/>
          <w:color w:val="333333"/>
          <w:sz w:val="22"/>
        </w:rPr>
        <w:t>Đề nghị triển khai chương trình Năng lực quản lý tuyến đầu &amp; Lean Problem Solving</w:t>
      </w:r>
    </w:p>
    <w:p>
      <w:pPr>
        <w:keepNext w:val="0"/>
        <w:spacing w:before="0" w:after="160" w:line="259" w:lineRule="auto"/>
        <w:jc w:val="center"/>
      </w:pPr>
      <w:r>
        <w:rPr>
          <w:rFonts w:ascii="Cambria" w:hAnsi="Cambria" w:eastAsia="Cambria"/>
          <w:b w:val="0"/>
          <w:i/>
          <w:color w:val="666666"/>
          <w:sz w:val="19"/>
        </w:rPr>
        <w:t>Số đề nghị: PR-LD-2026-018 | Ngày lập: 15/01/2026 | Mức phê duyệt: CHRO + CFO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C55A11"/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220"/>
      </w:tblGrid>
      <w:tr>
        <w:tc>
          <w:tcPr>
            <w:tcW w:type="dxa" w:w="5241"/>
            <w:shd w:fill="C55A1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>
            <w:pPr>
              <w:jc w:val="center"/>
            </w:pPr>
            <w:r>
              <w:rPr>
                <w:rFonts w:ascii="Cambria" w:hAnsi="Cambria" w:eastAsia="Cambria"/>
                <w:b/>
                <w:i w:val="0"/>
                <w:color w:val="FFFFFF"/>
                <w:sz w:val="20"/>
              </w:rPr>
              <w:t>MỤC ĐÍCH</w:t>
              <w:br/>
              <w:t>SỬ DỤNG</w:t>
            </w:r>
          </w:p>
        </w:tc>
        <w:tc>
          <w:tcPr>
            <w:tcW w:type="dxa" w:w="5241"/>
            <w:shd w:fill="EEF4F8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>
            <w:pPr>
              <w:keepNext w:val="0"/>
              <w:spacing w:before="0" w:after="0" w:line="259" w:lineRule="auto"/>
            </w:pPr>
            <w:r>
              <w:rPr>
                <w:rFonts w:ascii="Cambria" w:hAnsi="Cambria" w:eastAsia="Cambria"/>
                <w:b w:val="0"/>
                <w:i w:val="0"/>
                <w:color w:val="333333"/>
                <w:sz w:val="20"/>
              </w:rPr>
              <w:t>Cung cấp căn cứ kinh doanh, đối tượng, phạm vi, chi phí, lợi ích dự kiến, rủi ro và ý kiến thẩm định để người có thẩm quyền ra quyết định phê duyệt đào tạo.</w:t>
            </w:r>
          </w:p>
        </w:tc>
      </w:tr>
    </w:tbl>
    <w:p>
      <w:pPr>
        <w:pStyle w:val="Heading1"/>
      </w:pPr>
      <w:r>
        <w:t>1. Thông tin đề nghị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tblHeader w:val="true"/>
          <w:cantSplit/>
        </w:trPr>
        <w:tc>
          <w:tcPr>
            <w:tcW w:type="dxa" w:w="2608"/>
            <w:shd w:fill="C55A1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8"/>
              </w:rPr>
              <w:t>Nội dung</w:t>
            </w:r>
          </w:p>
        </w:tc>
        <w:tc>
          <w:tcPr>
            <w:tcW w:type="dxa" w:w="7427"/>
            <w:shd w:fill="C55A1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8"/>
              </w:rPr>
              <w:t>Chi tiết</w:t>
            </w:r>
          </w:p>
        </w:tc>
      </w:tr>
      <w:tr>
        <w:trPr>
          <w:cantSplit/>
        </w:trPr>
        <w:tc>
          <w:tcPr>
            <w:tcW w:type="dxa" w:w="260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Đơn vị đề nghị</w:t>
            </w:r>
          </w:p>
        </w:tc>
        <w:tc>
          <w:tcPr>
            <w:tcW w:type="dxa" w:w="742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Khối Vận hành</w:t>
            </w:r>
          </w:p>
        </w:tc>
      </w:tr>
      <w:tr>
        <w:trPr>
          <w:cantSplit/>
        </w:trPr>
        <w:tc>
          <w:tcPr>
            <w:tcW w:type="dxa" w:w="260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Đầu mối phụ trách</w:t>
            </w:r>
          </w:p>
        </w:tc>
        <w:tc>
          <w:tcPr>
            <w:tcW w:type="dxa" w:w="742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Learning Partner – Khối Nhà máy</w:t>
            </w:r>
          </w:p>
        </w:tc>
      </w:tr>
      <w:tr>
        <w:trPr>
          <w:cantSplit/>
        </w:trPr>
        <w:tc>
          <w:tcPr>
            <w:tcW w:type="dxa" w:w="260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Tên chương trình</w:t>
            </w:r>
          </w:p>
        </w:tc>
        <w:tc>
          <w:tcPr>
            <w:tcW w:type="dxa" w:w="742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Năng lực quản lý tuyến đầu &amp; Lean Problem Solving</w:t>
            </w:r>
          </w:p>
        </w:tc>
      </w:tr>
      <w:tr>
        <w:trPr>
          <w:cantSplit/>
        </w:trPr>
        <w:tc>
          <w:tcPr>
            <w:tcW w:type="dxa" w:w="260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Đối tượng/Số lượng</w:t>
            </w:r>
          </w:p>
        </w:tc>
        <w:tc>
          <w:tcPr>
            <w:tcW w:type="dxa" w:w="742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72 học viên; 03 lớp; 24 người/lớp</w:t>
            </w:r>
          </w:p>
        </w:tc>
      </w:tr>
      <w:tr>
        <w:trPr>
          <w:cantSplit/>
        </w:trPr>
        <w:tc>
          <w:tcPr>
            <w:tcW w:type="dxa" w:w="260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Thời gian dự kiến</w:t>
            </w:r>
          </w:p>
        </w:tc>
        <w:tc>
          <w:tcPr>
            <w:tcW w:type="dxa" w:w="742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09/03/2026 – 30/07/2026, bao gồm dự án 90 ngày</w:t>
            </w:r>
          </w:p>
        </w:tc>
      </w:tr>
      <w:tr>
        <w:trPr>
          <w:cantSplit/>
        </w:trPr>
        <w:tc>
          <w:tcPr>
            <w:tcW w:type="dxa" w:w="260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Hình thức</w:t>
            </w:r>
          </w:p>
        </w:tc>
        <w:tc>
          <w:tcPr>
            <w:tcW w:type="dxa" w:w="742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Đào tạo trực tiếp, mô phỏng, coaching và dự án hành động</w:t>
            </w:r>
          </w:p>
        </w:tc>
      </w:tr>
      <w:tr>
        <w:trPr>
          <w:cantSplit/>
        </w:trPr>
        <w:tc>
          <w:tcPr>
            <w:tcW w:type="dxa" w:w="260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Ngân sách đề nghị</w:t>
            </w:r>
          </w:p>
        </w:tc>
        <w:tc>
          <w:tcPr>
            <w:tcW w:type="dxa" w:w="742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548.000.000 đồng, đã bao gồm dự phòng 15%</w:t>
            </w:r>
          </w:p>
        </w:tc>
      </w:tr>
      <w:tr>
        <w:trPr>
          <w:cantSplit/>
        </w:trPr>
        <w:tc>
          <w:tcPr>
            <w:tcW w:type="dxa" w:w="260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Mã ngân sách</w:t>
            </w:r>
          </w:p>
        </w:tc>
        <w:tc>
          <w:tcPr>
            <w:tcW w:type="dxa" w:w="742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HR-LD-2026-06</w:t>
            </w:r>
          </w:p>
        </w:tc>
      </w:tr>
    </w:tbl>
    <w:p>
      <w:pPr>
        <w:pStyle w:val="Heading1"/>
      </w:pPr>
      <w:r>
        <w:t>2. Lý do và tác động kinh doanh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blHeader w:val="true"/>
          <w:cantSplit/>
        </w:trPr>
        <w:tc>
          <w:tcPr>
            <w:tcW w:type="dxa" w:w="2551"/>
            <w:shd w:fill="ED7D3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Vấn đề hiện tại</w:t>
            </w:r>
          </w:p>
        </w:tc>
        <w:tc>
          <w:tcPr>
            <w:tcW w:type="dxa" w:w="3572"/>
            <w:shd w:fill="ED7D3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Dữ liệu bằng chứng</w:t>
            </w:r>
          </w:p>
        </w:tc>
        <w:tc>
          <w:tcPr>
            <w:tcW w:type="dxa" w:w="3855"/>
            <w:shd w:fill="ED7D3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Tác động nếu không xử lý</w:t>
            </w:r>
          </w:p>
        </w:tc>
      </w:tr>
      <w:tr>
        <w:trPr>
          <w:cantSplit/>
        </w:trPr>
        <w:tc>
          <w:tcPr>
            <w:tcW w:type="dxa" w:w="255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Năng lực quản lý tuyến đầu không đồng đều</w:t>
            </w:r>
          </w:p>
        </w:tc>
        <w:tc>
          <w:tcPr>
            <w:tcW w:type="dxa" w:w="3572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62% tổ trưởng chưa qua đào tạo quản lý; chênh lệch năng suất giữa ca 9–17%</w:t>
            </w:r>
          </w:p>
        </w:tc>
        <w:tc>
          <w:tcPr>
            <w:tcW w:type="dxa" w:w="3855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Năng suất thấp, xung đột ca, rủi ro nghỉ việc</w:t>
            </w:r>
          </w:p>
        </w:tc>
      </w:tr>
      <w:tr>
        <w:trPr>
          <w:cantSplit/>
        </w:trPr>
        <w:tc>
          <w:tcPr>
            <w:tcW w:type="dxa" w:w="2551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Giải quyết vấn đề thiếu phương pháp</w:t>
            </w:r>
          </w:p>
        </w:tc>
        <w:tc>
          <w:tcPr>
            <w:tcW w:type="dxa" w:w="3572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47% báo cáo sự cố chưa xác định đúng nguyên nhân gốc</w:t>
            </w:r>
          </w:p>
        </w:tc>
        <w:tc>
          <w:tcPr>
            <w:tcW w:type="dxa" w:w="3855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Lỗi lặp lại, chi phí rework và dừng máy</w:t>
            </w:r>
          </w:p>
        </w:tc>
      </w:tr>
      <w:tr>
        <w:trPr>
          <w:cantSplit/>
        </w:trPr>
        <w:tc>
          <w:tcPr>
            <w:tcW w:type="dxa" w:w="255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Họp đầu ca và theo dõi KPI chưa chuẩn hóa</w:t>
            </w:r>
          </w:p>
        </w:tc>
        <w:tc>
          <w:tcPr>
            <w:tcW w:type="dxa" w:w="3572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Chỉ 38% tổ sử dụng bảng quản trị trực quan đúng chuẩn</w:t>
            </w:r>
          </w:p>
        </w:tc>
        <w:tc>
          <w:tcPr>
            <w:tcW w:type="dxa" w:w="3855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Phản ứng chậm với sai lệch vận hành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CE4D6"/>
            <w:tcMar>
              <w:top w:w="90" w:type="dxa"/>
              <w:left w:w="100" w:type="dxa"/>
              <w:bottom w:w="90" w:type="dxa"/>
              <w:right w:w="100" w:type="dxa"/>
            </w:tcMar>
            <w:tcBorders>
              <w:top w:val="single" w:sz="8" w:color="ED7D31"/>
              <w:left w:val="single" w:sz="8" w:color="ED7D31"/>
              <w:bottom w:val="single" w:sz="8" w:color="ED7D31"/>
              <w:right w:val="single" w:sz="8" w:color="ED7D31"/>
            </w:tcBorders>
          </w:tcPr>
          <w:p>
            <w:pPr>
              <w:keepNext w:val="0"/>
              <w:spacing w:before="0" w:after="0" w:line="259" w:lineRule="auto"/>
            </w:pPr>
            <w:r>
              <w:rPr>
                <w:rFonts w:ascii="Cambria" w:hAnsi="Cambria" w:eastAsia="Cambria"/>
                <w:b w:val="0"/>
                <w:i w:val="0"/>
                <w:color w:val="333333"/>
                <w:sz w:val="19"/>
              </w:rPr>
              <w:t>Mục tiêu tài chính: tạo lợi ích quy đổi tối thiểu 1,10 tỷ đồng trong 12 tháng từ giảm dừng máy, giảm lỗi và tăng số sáng kiến cải tiến.</w:t>
            </w:r>
          </w:p>
        </w:tc>
      </w:tr>
    </w:tbl>
    <w:p>
      <w:pPr>
        <w:pStyle w:val="Heading1"/>
      </w:pPr>
      <w:r>
        <w:t>3. Phương án lựa chọn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blHeader w:val="true"/>
          <w:cantSplit/>
        </w:trPr>
        <w:tc>
          <w:tcPr>
            <w:tcW w:type="dxa" w:w="1474"/>
            <w:shd w:fill="5B9BD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5"/>
              </w:rPr>
              <w:t>Phương án</w:t>
            </w:r>
          </w:p>
        </w:tc>
        <w:tc>
          <w:tcPr>
            <w:tcW w:type="dxa" w:w="2665"/>
            <w:shd w:fill="5B9BD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5"/>
              </w:rPr>
              <w:t>Mô tả</w:t>
            </w:r>
          </w:p>
        </w:tc>
        <w:tc>
          <w:tcPr>
            <w:tcW w:type="dxa" w:w="1247"/>
            <w:shd w:fill="5B9BD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5"/>
              </w:rPr>
              <w:t>Chi phí (triệu)</w:t>
            </w:r>
          </w:p>
        </w:tc>
        <w:tc>
          <w:tcPr>
            <w:tcW w:type="dxa" w:w="2041"/>
            <w:shd w:fill="5B9BD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5"/>
              </w:rPr>
              <w:t>Ưu điểm</w:t>
            </w:r>
          </w:p>
        </w:tc>
        <w:tc>
          <w:tcPr>
            <w:tcW w:type="dxa" w:w="2041"/>
            <w:shd w:fill="5B9BD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5"/>
              </w:rPr>
              <w:t>Hạn chế</w:t>
            </w:r>
          </w:p>
        </w:tc>
        <w:tc>
          <w:tcPr>
            <w:tcW w:type="dxa" w:w="1134"/>
            <w:shd w:fill="5B9BD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5"/>
              </w:rPr>
              <w:t>Khuyến nghị</w:t>
            </w:r>
          </w:p>
        </w:tc>
      </w:tr>
      <w:tr>
        <w:trPr>
          <w:cantSplit/>
        </w:trPr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A – Thuần nội bộ</w:t>
            </w:r>
          </w:p>
        </w:tc>
        <w:tc>
          <w:tcPr>
            <w:tcW w:type="dxa" w:w="2665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Giảng viên nội bộ, 02 ngày, không dự án</w:t>
            </w:r>
          </w:p>
        </w:tc>
        <w:tc>
          <w:tcPr>
            <w:tcW w:type="dxa" w:w="124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214</w:t>
            </w:r>
          </w:p>
        </w:tc>
        <w:tc>
          <w:tcPr>
            <w:tcW w:type="dxa" w:w="204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Chi phí thấp, hiểu bối cảnh</w:t>
            </w:r>
          </w:p>
        </w:tc>
        <w:tc>
          <w:tcPr>
            <w:tcW w:type="dxa" w:w="204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Thiếu phương pháp sâu; khó chuẩn hóa</w:t>
            </w:r>
          </w:p>
        </w:tc>
        <w:tc>
          <w:tcPr>
            <w:tcW w:type="dxa" w:w="113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Không chọn</w:t>
            </w:r>
          </w:p>
        </w:tc>
      </w:tr>
      <w:tr>
        <w:trPr>
          <w:cantSplit/>
        </w:trPr>
        <w:tc>
          <w:tcPr>
            <w:tcW w:type="dxa" w:w="147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B – Đối tác + nội bộ</w:t>
            </w:r>
          </w:p>
        </w:tc>
        <w:tc>
          <w:tcPr>
            <w:tcW w:type="dxa" w:w="2665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04 ngày + 90 ngày, case DAVIMEC</w:t>
            </w:r>
          </w:p>
        </w:tc>
        <w:tc>
          <w:tcPr>
            <w:tcW w:type="dxa" w:w="124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548</w:t>
            </w:r>
          </w:p>
        </w:tc>
        <w:tc>
          <w:tcPr>
            <w:tcW w:type="dxa" w:w="2041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Cân bằng chuyên môn và ứng dụng; có đo hiệu quả</w:t>
            </w:r>
          </w:p>
        </w:tc>
        <w:tc>
          <w:tcPr>
            <w:tcW w:type="dxa" w:w="2041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Cần phối hợp lịch sản xuất</w:t>
            </w:r>
          </w:p>
        </w:tc>
        <w:tc>
          <w:tcPr>
            <w:tcW w:type="dxa" w:w="113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Đề nghị chọn</w:t>
            </w:r>
          </w:p>
        </w:tc>
      </w:tr>
      <w:tr>
        <w:trPr>
          <w:cantSplit/>
        </w:trPr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C – Gửi học bên ngoài</w:t>
            </w:r>
          </w:p>
        </w:tc>
        <w:tc>
          <w:tcPr>
            <w:tcW w:type="dxa" w:w="2665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Học viên tham gia khóa mở</w:t>
            </w:r>
          </w:p>
        </w:tc>
        <w:tc>
          <w:tcPr>
            <w:tcW w:type="dxa" w:w="124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684</w:t>
            </w:r>
          </w:p>
        </w:tc>
        <w:tc>
          <w:tcPr>
            <w:tcW w:type="dxa" w:w="204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Triển khai nhanh</w:t>
            </w:r>
          </w:p>
        </w:tc>
        <w:tc>
          <w:tcPr>
            <w:tcW w:type="dxa" w:w="204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Nội dung phân tán; khó đo KPI; chi phí cao</w:t>
            </w:r>
          </w:p>
        </w:tc>
        <w:tc>
          <w:tcPr>
            <w:tcW w:type="dxa" w:w="113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5"/>
              </w:rPr>
              <w:t>Không chọn</w:t>
            </w:r>
          </w:p>
        </w:tc>
      </w:tr>
    </w:tbl>
    <w:p>
      <w:pPr>
        <w:pStyle w:val="Heading1"/>
      </w:pPr>
      <w:r>
        <w:t>4. Ngân sách và điều kiện thanh toán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4706"/>
            <w:tcMar>
              <w:top w:w="80" w:type="dxa"/>
              <w:left w:w="80" w:type="dxa"/>
              <w:bottom w:w="80" w:type="dxa"/>
              <w:right w:w="80" w:type="dxa"/>
            </w:tcMar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keepNext w:val="0"/>
              <w:spacing w:before="0" w:after="80" w:line="259" w:lineRule="auto"/>
            </w:pPr>
            <w:r>
              <w:rPr>
                <w:rFonts w:ascii="Cambria" w:hAnsi="Cambria" w:eastAsia="Cambria"/>
                <w:b/>
                <w:i w:val="0"/>
                <w:color w:val="ED7D31"/>
                <w:sz w:val="22"/>
              </w:rPr>
              <w:t>Chi tiết ngân sách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353"/>
              <w:gridCol w:w="2353"/>
            </w:tblGrid>
            <w:tr>
              <w:tc>
                <w:tcPr>
                  <w:tcW w:type="dxa" w:w="2353"/>
                  <w:shd w:fill="ED7D31"/>
                </w:tcPr>
                <w:p>
                  <w:pPr>
                    <w:jc w:val="center"/>
                  </w:pPr>
                  <w:r>
                    <w:rPr>
                      <w:rFonts w:ascii="Cambria" w:hAnsi="Cambria" w:eastAsia="Cambria"/>
                      <w:b/>
                      <w:i w:val="0"/>
                      <w:color w:val="FFFFFF"/>
                      <w:sz w:val="17"/>
                    </w:rPr>
                    <w:t>Hạng mục</w:t>
                  </w:r>
                </w:p>
              </w:tc>
              <w:tc>
                <w:tcPr>
                  <w:tcW w:type="dxa" w:w="2353"/>
                  <w:shd w:fill="ED7D31"/>
                </w:tcPr>
                <w:p>
                  <w:pPr>
                    <w:jc w:val="center"/>
                  </w:pPr>
                  <w:r>
                    <w:rPr>
                      <w:rFonts w:ascii="Cambria" w:hAnsi="Cambria" w:eastAsia="Cambria"/>
                      <w:b/>
                      <w:i w:val="0"/>
                      <w:color w:val="FFFFFF"/>
                      <w:sz w:val="17"/>
                    </w:rPr>
                    <w:t>Số tiền</w:t>
                  </w:r>
                </w:p>
              </w:tc>
            </w:tr>
            <w:tr>
              <w:tc>
                <w:tcPr>
                  <w:tcW w:type="dxa" w:w="2353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left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Phí giảng viên &amp; bản quyền</w:t>
                  </w:r>
                </w:p>
              </w:tc>
              <w:tc>
                <w:tcPr>
                  <w:tcW w:type="dxa" w:w="2353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230 tr</w:t>
                  </w:r>
                </w:p>
              </w:tc>
            </w:tr>
            <w:tr>
              <w:tc>
                <w:tcPr>
                  <w:tcW w:type="dxa" w:w="2353"/>
                  <w:shd w:fill="F7FAFC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left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Phòng học/thiết bị/mô phỏng</w:t>
                  </w:r>
                </w:p>
              </w:tc>
              <w:tc>
                <w:tcPr>
                  <w:tcW w:type="dxa" w:w="2353"/>
                  <w:shd w:fill="F7FAFC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82 tr</w:t>
                  </w:r>
                </w:p>
              </w:tc>
            </w:tr>
            <w:tr>
              <w:tc>
                <w:tcPr>
                  <w:tcW w:type="dxa" w:w="2353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left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Tài liệu &amp; LMS</w:t>
                  </w:r>
                </w:p>
              </w:tc>
              <w:tc>
                <w:tcPr>
                  <w:tcW w:type="dxa" w:w="2353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58 tr</w:t>
                  </w:r>
                </w:p>
              </w:tc>
            </w:tr>
            <w:tr>
              <w:tc>
                <w:tcPr>
                  <w:tcW w:type="dxa" w:w="2353"/>
                  <w:shd w:fill="F7FAFC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left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Chi phí dự án thực hành</w:t>
                  </w:r>
                </w:p>
              </w:tc>
              <w:tc>
                <w:tcPr>
                  <w:tcW w:type="dxa" w:w="2353"/>
                  <w:shd w:fill="F7FAFC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96 tr</w:t>
                  </w:r>
                </w:p>
              </w:tc>
            </w:tr>
            <w:tr>
              <w:tc>
                <w:tcPr>
                  <w:tcW w:type="dxa" w:w="2353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left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Dự phòng</w:t>
                  </w:r>
                </w:p>
              </w:tc>
              <w:tc>
                <w:tcPr>
                  <w:tcW w:type="dxa" w:w="2353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mbria" w:hAnsi="Cambria" w:eastAsia="Cambria"/>
                      <w:b w:val="0"/>
                      <w:i w:val="0"/>
                      <w:color w:val="333333"/>
                      <w:sz w:val="17"/>
                    </w:rPr>
                    <w:t>82 tr</w:t>
                  </w:r>
                </w:p>
              </w:tc>
            </w:tr>
          </w:tbl>
          <w:p/>
        </w:tc>
        <w:tc>
          <w:tcPr>
            <w:tcW w:type="dxa" w:w="5272"/>
            <w:tcMar>
              <w:top w:w="80" w:type="dxa"/>
              <w:left w:w="80" w:type="dxa"/>
              <w:bottom w:w="80" w:type="dxa"/>
              <w:right w:w="80" w:type="dxa"/>
            </w:tcMar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3168000" cy="210783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pproval_budget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00" cy="210783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blHeader w:val="true"/>
          <w:cantSplit/>
        </w:trPr>
        <w:tc>
          <w:tcPr>
            <w:tcW w:type="dxa" w:w="3628"/>
            <w:shd w:fill="C55A1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Khoản mục</w:t>
            </w:r>
          </w:p>
        </w:tc>
        <w:tc>
          <w:tcPr>
            <w:tcW w:type="dxa" w:w="2098"/>
            <w:shd w:fill="C55A1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Giá trị (VNĐ)</w:t>
            </w:r>
          </w:p>
        </w:tc>
        <w:tc>
          <w:tcPr>
            <w:tcW w:type="dxa" w:w="4309"/>
            <w:shd w:fill="C55A1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Điều kiện/Chứng từ</w:t>
            </w:r>
          </w:p>
        </w:tc>
      </w:tr>
      <w:tr>
        <w:trPr>
          <w:cantSplit/>
        </w:trPr>
        <w:tc>
          <w:tcPr>
            <w:tcW w:type="dxa" w:w="362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Phí giảng viên và bản quyền</w:t>
            </w:r>
          </w:p>
        </w:tc>
        <w:tc>
          <w:tcPr>
            <w:tcW w:type="dxa" w:w="209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230.000.000</w:t>
            </w:r>
          </w:p>
        </w:tc>
        <w:tc>
          <w:tcPr>
            <w:tcW w:type="dxa" w:w="4309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Hợp đồng, biên bản nghiệm thu, hóa đơn</w:t>
            </w:r>
          </w:p>
        </w:tc>
      </w:tr>
      <w:tr>
        <w:trPr>
          <w:cantSplit/>
        </w:trPr>
        <w:tc>
          <w:tcPr>
            <w:tcW w:type="dxa" w:w="362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Phòng học, thiết bị, mô phỏng</w:t>
            </w:r>
          </w:p>
        </w:tc>
        <w:tc>
          <w:tcPr>
            <w:tcW w:type="dxa" w:w="209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82.000.000</w:t>
            </w:r>
          </w:p>
        </w:tc>
        <w:tc>
          <w:tcPr>
            <w:tcW w:type="dxa" w:w="4309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Phiếu xác nhận dịch vụ và hóa đơn</w:t>
            </w:r>
          </w:p>
        </w:tc>
      </w:tr>
      <w:tr>
        <w:trPr>
          <w:cantSplit/>
        </w:trPr>
        <w:tc>
          <w:tcPr>
            <w:tcW w:type="dxa" w:w="362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Tài liệu, LMS, license</w:t>
            </w:r>
          </w:p>
        </w:tc>
        <w:tc>
          <w:tcPr>
            <w:tcW w:type="dxa" w:w="209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58.000.000</w:t>
            </w:r>
          </w:p>
        </w:tc>
        <w:tc>
          <w:tcPr>
            <w:tcW w:type="dxa" w:w="4309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Danh sách tài khoản, biên bản bàn giao</w:t>
            </w:r>
          </w:p>
        </w:tc>
      </w:tr>
      <w:tr>
        <w:trPr>
          <w:cantSplit/>
        </w:trPr>
        <w:tc>
          <w:tcPr>
            <w:tcW w:type="dxa" w:w="362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Dự án thực hành và coaching</w:t>
            </w:r>
          </w:p>
        </w:tc>
        <w:tc>
          <w:tcPr>
            <w:tcW w:type="dxa" w:w="209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96.000.000</w:t>
            </w:r>
          </w:p>
        </w:tc>
        <w:tc>
          <w:tcPr>
            <w:tcW w:type="dxa" w:w="4309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Biên bản coaching, báo cáo dự án</w:t>
            </w:r>
          </w:p>
        </w:tc>
      </w:tr>
      <w:tr>
        <w:trPr>
          <w:cantSplit/>
        </w:trPr>
        <w:tc>
          <w:tcPr>
            <w:tcW w:type="dxa" w:w="362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Dự phòng tối đa</w:t>
            </w:r>
          </w:p>
        </w:tc>
        <w:tc>
          <w:tcPr>
            <w:tcW w:type="dxa" w:w="209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82.000.000</w:t>
            </w:r>
          </w:p>
        </w:tc>
        <w:tc>
          <w:tcPr>
            <w:tcW w:type="dxa" w:w="4309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Chỉ sử dụng khi có phê duyệt bổ sung</w:t>
            </w:r>
          </w:p>
        </w:tc>
      </w:tr>
      <w:tr>
        <w:trPr>
          <w:cantSplit/>
        </w:trPr>
        <w:tc>
          <w:tcPr>
            <w:tcW w:type="dxa" w:w="362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Tổng cộng</w:t>
            </w:r>
          </w:p>
        </w:tc>
        <w:tc>
          <w:tcPr>
            <w:tcW w:type="dxa" w:w="209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548.000.000</w:t>
            </w:r>
          </w:p>
        </w:tc>
        <w:tc>
          <w:tcPr>
            <w:tcW w:type="dxa" w:w="4309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Không vượt ngân sách đã duyệt</w:t>
            </w:r>
          </w:p>
        </w:tc>
      </w:tr>
    </w:tbl>
    <w:p>
      <w:pPr>
        <w:pStyle w:val="Heading1"/>
      </w:pPr>
      <w:r>
        <w:t>5. Lợi ích dự kiến và hiệu quả tài chính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262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shd w:fill="70AD47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Cambria" w:hAnsi="Cambria" w:eastAsia="Cambria"/>
                <w:b/>
                <w:i w:val="0"/>
                <w:color w:val="FFFFFF"/>
                <w:sz w:val="30"/>
              </w:rPr>
              <w:t>1,10 tỷ</w:t>
              <w:br/>
            </w:r>
            <w:r>
              <w:rPr>
                <w:rFonts w:ascii="Cambria" w:hAnsi="Cambria" w:eastAsia="Cambria"/>
                <w:b w:val="0"/>
                <w:i w:val="0"/>
                <w:color w:val="FFFFFF"/>
                <w:sz w:val="17"/>
              </w:rPr>
              <w:t>Lợi ích thận trọng</w:t>
            </w:r>
          </w:p>
        </w:tc>
        <w:tc>
          <w:tcPr>
            <w:tcW w:type="dxa" w:w="262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shd w:fill="ED7D31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Cambria" w:hAnsi="Cambria" w:eastAsia="Cambria"/>
                <w:b/>
                <w:i w:val="0"/>
                <w:color w:val="FFFFFF"/>
                <w:sz w:val="30"/>
              </w:rPr>
              <w:t>548 triệu</w:t>
              <w:br/>
            </w:r>
            <w:r>
              <w:rPr>
                <w:rFonts w:ascii="Cambria" w:hAnsi="Cambria" w:eastAsia="Cambria"/>
                <w:b w:val="0"/>
                <w:i w:val="0"/>
                <w:color w:val="FFFFFF"/>
                <w:sz w:val="17"/>
              </w:rPr>
              <w:t>Chi phí đề nghị</w:t>
            </w:r>
          </w:p>
        </w:tc>
        <w:tc>
          <w:tcPr>
            <w:tcW w:type="dxa" w:w="262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shd w:fill="4472C4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Cambria" w:hAnsi="Cambria" w:eastAsia="Cambria"/>
                <w:b/>
                <w:i w:val="0"/>
                <w:color w:val="FFFFFF"/>
                <w:sz w:val="30"/>
              </w:rPr>
              <w:t>101%</w:t>
              <w:br/>
            </w:r>
            <w:r>
              <w:rPr>
                <w:rFonts w:ascii="Cambria" w:hAnsi="Cambria" w:eastAsia="Cambria"/>
                <w:b w:val="0"/>
                <w:i w:val="0"/>
                <w:color w:val="FFFFFF"/>
                <w:sz w:val="17"/>
              </w:rPr>
              <w:t>ROI dự kiến</w:t>
            </w:r>
          </w:p>
        </w:tc>
        <w:tc>
          <w:tcPr>
            <w:tcW w:type="dxa" w:w="262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shd w:fill="FFC000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Cambria" w:hAnsi="Cambria" w:eastAsia="Cambria"/>
                <w:b/>
                <w:i w:val="0"/>
                <w:color w:val="FFFFFF"/>
                <w:sz w:val="30"/>
              </w:rPr>
              <w:t>&lt; 12 tháng</w:t>
              <w:br/>
            </w:r>
            <w:r>
              <w:rPr>
                <w:rFonts w:ascii="Cambria" w:hAnsi="Cambria" w:eastAsia="Cambria"/>
                <w:b w:val="0"/>
                <w:i w:val="0"/>
                <w:color w:val="FFFFFF"/>
                <w:sz w:val="17"/>
              </w:rPr>
              <w:t>Hoàn vốn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blHeader w:val="true"/>
          <w:cantSplit/>
        </w:trPr>
        <w:tc>
          <w:tcPr>
            <w:tcW w:type="dxa" w:w="2494"/>
            <w:shd w:fill="70AD4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Nguồn lợi ích</w:t>
            </w:r>
          </w:p>
        </w:tc>
        <w:tc>
          <w:tcPr>
            <w:tcW w:type="dxa" w:w="4082"/>
            <w:shd w:fill="70AD4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Cách tính thận trọng</w:t>
            </w:r>
          </w:p>
        </w:tc>
        <w:tc>
          <w:tcPr>
            <w:tcW w:type="dxa" w:w="1757"/>
            <w:shd w:fill="70AD4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Giá trị năm (triệu)</w:t>
            </w:r>
          </w:p>
        </w:tc>
        <w:tc>
          <w:tcPr>
            <w:tcW w:type="dxa" w:w="1701"/>
            <w:shd w:fill="70AD4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7"/>
              </w:rPr>
              <w:t>Chủ dữ liệu</w:t>
            </w:r>
          </w:p>
        </w:tc>
      </w:tr>
      <w:tr>
        <w:trPr>
          <w:cantSplit/>
        </w:trPr>
        <w:tc>
          <w:tcPr>
            <w:tcW w:type="dxa" w:w="249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Giảm dừng máy</w:t>
            </w:r>
          </w:p>
        </w:tc>
        <w:tc>
          <w:tcPr>
            <w:tcW w:type="dxa" w:w="4082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Giảm 2.200 giờ x 0,25 triệu/giờ</w:t>
            </w:r>
          </w:p>
        </w:tc>
        <w:tc>
          <w:tcPr>
            <w:tcW w:type="dxa" w:w="175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550</w:t>
            </w:r>
          </w:p>
        </w:tc>
        <w:tc>
          <w:tcPr>
            <w:tcW w:type="dxa" w:w="170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Sản xuất/Finance</w:t>
            </w:r>
          </w:p>
        </w:tc>
      </w:tr>
      <w:tr>
        <w:trPr>
          <w:cantSplit/>
        </w:trPr>
        <w:tc>
          <w:tcPr>
            <w:tcW w:type="dxa" w:w="249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Giảm lỗi và rework</w:t>
            </w:r>
          </w:p>
        </w:tc>
        <w:tc>
          <w:tcPr>
            <w:tcW w:type="dxa" w:w="4082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Giảm 0,12% sản lượng quy đổi</w:t>
            </w:r>
          </w:p>
        </w:tc>
        <w:tc>
          <w:tcPr>
            <w:tcW w:type="dxa" w:w="175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310</w:t>
            </w:r>
          </w:p>
        </w:tc>
        <w:tc>
          <w:tcPr>
            <w:tcW w:type="dxa" w:w="1701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Quality/Finance</w:t>
            </w:r>
          </w:p>
        </w:tc>
      </w:tr>
      <w:tr>
        <w:trPr>
          <w:cantSplit/>
        </w:trPr>
        <w:tc>
          <w:tcPr>
            <w:tcW w:type="dxa" w:w="249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Tăng đề xuất cải tiến</w:t>
            </w:r>
          </w:p>
        </w:tc>
        <w:tc>
          <w:tcPr>
            <w:tcW w:type="dxa" w:w="4082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12 sáng kiến x 20 triệu/sáng kiến</w:t>
            </w:r>
          </w:p>
        </w:tc>
        <w:tc>
          <w:tcPr>
            <w:tcW w:type="dxa" w:w="175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240</w:t>
            </w:r>
          </w:p>
        </w:tc>
        <w:tc>
          <w:tcPr>
            <w:tcW w:type="dxa" w:w="170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CI Office</w:t>
            </w:r>
          </w:p>
        </w:tc>
      </w:tr>
      <w:tr>
        <w:trPr>
          <w:cantSplit/>
        </w:trPr>
        <w:tc>
          <w:tcPr>
            <w:tcW w:type="dxa" w:w="249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Tổng lợi ích quy đổi</w:t>
            </w:r>
          </w:p>
        </w:tc>
        <w:tc>
          <w:tcPr>
            <w:tcW w:type="dxa" w:w="4082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</w:r>
          </w:p>
        </w:tc>
        <w:tc>
          <w:tcPr>
            <w:tcW w:type="dxa" w:w="175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1.100</w:t>
            </w:r>
          </w:p>
        </w:tc>
        <w:tc>
          <w:tcPr>
            <w:tcW w:type="dxa" w:w="1701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7"/>
              </w:rPr>
              <w:t>Finance BP xác nhận</w:t>
            </w:r>
          </w:p>
        </w:tc>
      </w:tr>
    </w:tbl>
    <w:p>
      <w:pPr>
        <w:keepNext w:val="0"/>
        <w:spacing w:before="0" w:after="80" w:line="259" w:lineRule="auto"/>
      </w:pPr>
      <w:r>
        <w:rPr>
          <w:rFonts w:ascii="Cambria" w:hAnsi="Cambria" w:eastAsia="Cambria"/>
          <w:b w:val="0"/>
          <w:i/>
          <w:color w:val="666666"/>
          <w:sz w:val="19"/>
        </w:rPr>
        <w:t>Công thức ROI dự kiến = (Lợi ích quy đổi – Chi phí chương trình) / Chi phí chương trình × 100% = (1.100 – 548) / 548 = 101%.</w:t>
      </w:r>
    </w:p>
    <w:p>
      <w:pPr>
        <w:pStyle w:val="Heading1"/>
      </w:pPr>
      <w:r>
        <w:t>6. Thẩm định nhà cung cấp và rủi ro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blHeader w:val="true"/>
          <w:cantSplit/>
        </w:trPr>
        <w:tc>
          <w:tcPr>
            <w:tcW w:type="dxa" w:w="3572"/>
            <w:shd w:fill="A5A5A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6"/>
              </w:rPr>
              <w:t>Tiêu chí</w:t>
            </w:r>
          </w:p>
        </w:tc>
        <w:tc>
          <w:tcPr>
            <w:tcW w:type="dxa" w:w="1134"/>
            <w:shd w:fill="A5A5A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6"/>
              </w:rPr>
              <w:t>Trọng số</w:t>
            </w:r>
          </w:p>
        </w:tc>
        <w:tc>
          <w:tcPr>
            <w:tcW w:type="dxa" w:w="1474"/>
            <w:shd w:fill="A5A5A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6"/>
              </w:rPr>
              <w:t>Điểm LeanPro</w:t>
            </w:r>
          </w:p>
        </w:tc>
        <w:tc>
          <w:tcPr>
            <w:tcW w:type="dxa" w:w="1474"/>
            <w:shd w:fill="A5A5A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6"/>
              </w:rPr>
              <w:t>Điểm quy đổi</w:t>
            </w:r>
          </w:p>
        </w:tc>
        <w:tc>
          <w:tcPr>
            <w:tcW w:type="dxa" w:w="2381"/>
            <w:shd w:fill="A5A5A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6"/>
              </w:rPr>
              <w:t>Nhận xét</w:t>
            </w:r>
          </w:p>
        </w:tc>
      </w:tr>
      <w:tr>
        <w:trPr>
          <w:cantSplit/>
        </w:trPr>
        <w:tc>
          <w:tcPr>
            <w:tcW w:type="dxa" w:w="3572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Năng lực chuyên môn Lean &amp; quản lý tuyến đầu</w:t>
            </w:r>
          </w:p>
        </w:tc>
        <w:tc>
          <w:tcPr>
            <w:tcW w:type="dxa" w:w="113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25%</w:t>
            </w:r>
          </w:p>
        </w:tc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92/100</w:t>
            </w:r>
          </w:p>
        </w:tc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23,0</w:t>
            </w:r>
          </w:p>
        </w:tc>
        <w:tc>
          <w:tcPr>
            <w:tcW w:type="dxa" w:w="238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Đội ngũ chuyên gia có kinh nghiệm nhà máy</w:t>
            </w:r>
          </w:p>
        </w:tc>
      </w:tr>
      <w:tr>
        <w:trPr>
          <w:cantSplit/>
        </w:trPr>
        <w:tc>
          <w:tcPr>
            <w:tcW w:type="dxa" w:w="3572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Kinh nghiệm ngành sản xuất</w:t>
            </w:r>
          </w:p>
        </w:tc>
        <w:tc>
          <w:tcPr>
            <w:tcW w:type="dxa" w:w="113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20%</w:t>
            </w:r>
          </w:p>
        </w:tc>
        <w:tc>
          <w:tcPr>
            <w:tcW w:type="dxa" w:w="147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90/100</w:t>
            </w:r>
          </w:p>
        </w:tc>
        <w:tc>
          <w:tcPr>
            <w:tcW w:type="dxa" w:w="147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18,0</w:t>
            </w:r>
          </w:p>
        </w:tc>
        <w:tc>
          <w:tcPr>
            <w:tcW w:type="dxa" w:w="2381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Có case tương đồng</w:t>
            </w:r>
          </w:p>
        </w:tc>
      </w:tr>
      <w:tr>
        <w:trPr>
          <w:cantSplit/>
        </w:trPr>
        <w:tc>
          <w:tcPr>
            <w:tcW w:type="dxa" w:w="3572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Phương pháp và tài liệu</w:t>
            </w:r>
          </w:p>
        </w:tc>
        <w:tc>
          <w:tcPr>
            <w:tcW w:type="dxa" w:w="113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20%</w:t>
            </w:r>
          </w:p>
        </w:tc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88/100</w:t>
            </w:r>
          </w:p>
        </w:tc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17,6</w:t>
            </w:r>
          </w:p>
        </w:tc>
        <w:tc>
          <w:tcPr>
            <w:tcW w:type="dxa" w:w="238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Có mô phỏng và dự án 90 ngày</w:t>
            </w:r>
          </w:p>
        </w:tc>
      </w:tr>
      <w:tr>
        <w:trPr>
          <w:cantSplit/>
        </w:trPr>
        <w:tc>
          <w:tcPr>
            <w:tcW w:type="dxa" w:w="3572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Chi phí và điều khoản</w:t>
            </w:r>
          </w:p>
        </w:tc>
        <w:tc>
          <w:tcPr>
            <w:tcW w:type="dxa" w:w="113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15%</w:t>
            </w:r>
          </w:p>
        </w:tc>
        <w:tc>
          <w:tcPr>
            <w:tcW w:type="dxa" w:w="147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84/100</w:t>
            </w:r>
          </w:p>
        </w:tc>
        <w:tc>
          <w:tcPr>
            <w:tcW w:type="dxa" w:w="147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12,6</w:t>
            </w:r>
          </w:p>
        </w:tc>
        <w:tc>
          <w:tcPr>
            <w:tcW w:type="dxa" w:w="2381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Cạnh tranh, thanh toán theo mốc</w:t>
            </w:r>
          </w:p>
        </w:tc>
      </w:tr>
      <w:tr>
        <w:trPr>
          <w:cantSplit/>
        </w:trPr>
        <w:tc>
          <w:tcPr>
            <w:tcW w:type="dxa" w:w="3572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Năng lực đo hiệu quả</w:t>
            </w:r>
          </w:p>
        </w:tc>
        <w:tc>
          <w:tcPr>
            <w:tcW w:type="dxa" w:w="113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10%</w:t>
            </w:r>
          </w:p>
        </w:tc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90/100</w:t>
            </w:r>
          </w:p>
        </w:tc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9,0</w:t>
            </w:r>
          </w:p>
        </w:tc>
        <w:tc>
          <w:tcPr>
            <w:tcW w:type="dxa" w:w="238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Hỗ trợ rubric và review dự án</w:t>
            </w:r>
          </w:p>
        </w:tc>
      </w:tr>
      <w:tr>
        <w:trPr>
          <w:cantSplit/>
        </w:trPr>
        <w:tc>
          <w:tcPr>
            <w:tcW w:type="dxa" w:w="3572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Tuân thủ pháp lý/bảo mật</w:t>
            </w:r>
          </w:p>
        </w:tc>
        <w:tc>
          <w:tcPr>
            <w:tcW w:type="dxa" w:w="113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10%</w:t>
            </w:r>
          </w:p>
        </w:tc>
        <w:tc>
          <w:tcPr>
            <w:tcW w:type="dxa" w:w="147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95/100</w:t>
            </w:r>
          </w:p>
        </w:tc>
        <w:tc>
          <w:tcPr>
            <w:tcW w:type="dxa" w:w="1474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9,5</w:t>
            </w:r>
          </w:p>
        </w:tc>
        <w:tc>
          <w:tcPr>
            <w:tcW w:type="dxa" w:w="2381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Đầy đủ hồ sơ</w:t>
            </w:r>
          </w:p>
        </w:tc>
      </w:tr>
      <w:tr>
        <w:trPr>
          <w:cantSplit/>
        </w:trPr>
        <w:tc>
          <w:tcPr>
            <w:tcW w:type="dxa" w:w="3572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Tổng điểm</w:t>
            </w:r>
          </w:p>
        </w:tc>
        <w:tc>
          <w:tcPr>
            <w:tcW w:type="dxa" w:w="113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100%</w:t>
            </w:r>
          </w:p>
        </w:tc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</w:r>
          </w:p>
        </w:tc>
        <w:tc>
          <w:tcPr>
            <w:tcW w:type="dxa" w:w="1474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89,7</w:t>
            </w:r>
          </w:p>
        </w:tc>
        <w:tc>
          <w:tcPr>
            <w:tcW w:type="dxa" w:w="2381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6"/>
              </w:rPr>
              <w:t>Đạt ngưỡng ≥ 80</w:t>
            </w:r>
          </w:p>
        </w:tc>
      </w:tr>
    </w:tbl>
    <w:p>
      <w:pPr>
        <w:pStyle w:val="Heading1"/>
      </w:pPr>
      <w:r>
        <w:t>7. Quyết định phê duyệt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tblHeader w:val="true"/>
          <w:cantSplit/>
        </w:trPr>
        <w:tc>
          <w:tcPr>
            <w:tcW w:type="dxa" w:w="2948"/>
            <w:shd w:fill="C55A1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8"/>
              </w:rPr>
              <w:t>Nội dung quyết định</w:t>
            </w:r>
          </w:p>
        </w:tc>
        <w:tc>
          <w:tcPr>
            <w:tcW w:type="dxa" w:w="7087"/>
            <w:shd w:fill="C55A1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center"/>
            </w:pPr>
            <w:r/>
            <w:r>
              <w:rPr>
                <w:rFonts w:ascii="Cambria" w:hAnsi="Cambria" w:eastAsia="Cambria"/>
                <w:b/>
                <w:i w:val="0"/>
                <w:color w:val="FFFFFF"/>
                <w:sz w:val="18"/>
              </w:rPr>
              <w:t>Lựa chọn</w:t>
            </w:r>
          </w:p>
        </w:tc>
      </w:tr>
      <w:tr>
        <w:trPr>
          <w:cantSplit/>
        </w:trPr>
        <w:tc>
          <w:tcPr>
            <w:tcW w:type="dxa" w:w="294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Kết quả</w:t>
            </w:r>
          </w:p>
        </w:tc>
        <w:tc>
          <w:tcPr>
            <w:tcW w:type="dxa" w:w="708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☐ Phê duyệt   ☐ Phê duyệt có điều kiện   ☐ Không phê duyệt</w:t>
            </w:r>
          </w:p>
        </w:tc>
      </w:tr>
      <w:tr>
        <w:trPr>
          <w:cantSplit/>
        </w:trPr>
        <w:tc>
          <w:tcPr>
            <w:tcW w:type="dxa" w:w="294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Điều kiện kèm theo</w:t>
            </w:r>
          </w:p>
        </w:tc>
        <w:tc>
          <w:tcPr>
            <w:tcW w:type="dxa" w:w="708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................................................................................................................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94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Giới hạn ngân sách</w:t>
            </w:r>
          </w:p>
        </w:tc>
        <w:tc>
          <w:tcPr>
            <w:tcW w:type="dxa" w:w="7087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Không vượt 548.000.000 đồng; mọi phát sinh phải phê duyệt bổ sung</w:t>
            </w:r>
          </w:p>
        </w:tc>
      </w:tr>
      <w:tr>
        <w:trPr>
          <w:cantSplit/>
        </w:trPr>
        <w:tc>
          <w:tcPr>
            <w:tcW w:type="dxa" w:w="2948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Thời hạn hoàn tất</w:t>
            </w:r>
          </w:p>
        </w:tc>
        <w:tc>
          <w:tcPr>
            <w:tcW w:type="dxa" w:w="7087"/>
            <w:shd w:fill="F7FAFC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</w:tcPr>
          <w:p>
            <w:pPr>
              <w:jc w:val="left"/>
            </w:pPr>
            <w:r/>
            <w:r>
              <w:rPr>
                <w:rFonts w:ascii="Cambria" w:hAnsi="Cambria" w:eastAsia="Cambria"/>
                <w:b w:val="0"/>
                <w:i w:val="0"/>
                <w:color w:val="333333"/>
                <w:sz w:val="18"/>
              </w:rPr>
              <w:t>Trước 30/07/2026; báo cáo hiệu quả trước 30/09/2026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2620"/>
            <w:shd w:fill="D9EAF7"/>
          </w:tcPr>
          <w:p>
            <w:pPr>
              <w:jc w:val="center"/>
            </w:pPr>
            <w:r>
              <w:rPr>
                <w:rFonts w:ascii="Cambria" w:hAnsi="Cambria" w:eastAsia="Cambria"/>
                <w:b/>
                <w:i w:val="0"/>
                <w:color w:val="1F4E79"/>
                <w:sz w:val="18"/>
              </w:rPr>
              <w:t>Người đề nghị</w:t>
              <w:br/>
              <w:t>Learning Partner</w:t>
            </w:r>
          </w:p>
        </w:tc>
        <w:tc>
          <w:tcPr>
            <w:tcW w:type="dxa" w:w="2620"/>
            <w:shd w:fill="D9EAF7"/>
          </w:tcPr>
          <w:p>
            <w:pPr>
              <w:jc w:val="center"/>
            </w:pPr>
            <w:r>
              <w:rPr>
                <w:rFonts w:ascii="Cambria" w:hAnsi="Cambria" w:eastAsia="Cambria"/>
                <w:b/>
                <w:i w:val="0"/>
                <w:color w:val="1F4E79"/>
                <w:sz w:val="18"/>
              </w:rPr>
              <w:t>Thẩm định chuyên môn</w:t>
              <w:br/>
              <w:t>Giám đốc L&amp;D</w:t>
            </w:r>
          </w:p>
        </w:tc>
        <w:tc>
          <w:tcPr>
            <w:tcW w:type="dxa" w:w="2620"/>
            <w:shd w:fill="D9EAF7"/>
          </w:tcPr>
          <w:p>
            <w:pPr>
              <w:jc w:val="center"/>
            </w:pPr>
            <w:r>
              <w:rPr>
                <w:rFonts w:ascii="Cambria" w:hAnsi="Cambria" w:eastAsia="Cambria"/>
                <w:b/>
                <w:i w:val="0"/>
                <w:color w:val="1F4E79"/>
                <w:sz w:val="18"/>
              </w:rPr>
              <w:t>Thẩm định tài chính</w:t>
              <w:br/>
              <w:t>Finance BP/CFO</w:t>
            </w:r>
          </w:p>
        </w:tc>
        <w:tc>
          <w:tcPr>
            <w:tcW w:type="dxa" w:w="2620"/>
            <w:shd w:fill="D9EAF7"/>
          </w:tcPr>
          <w:p>
            <w:pPr>
              <w:jc w:val="center"/>
            </w:pPr>
            <w:r>
              <w:rPr>
                <w:rFonts w:ascii="Cambria" w:hAnsi="Cambria" w:eastAsia="Cambria"/>
                <w:b/>
                <w:i w:val="0"/>
                <w:color w:val="1F4E79"/>
                <w:sz w:val="18"/>
              </w:rPr>
              <w:t>Phê duyệt</w:t>
              <w:br/>
              <w:t>CHRO</w:t>
            </w:r>
          </w:p>
        </w:tc>
      </w:tr>
      <w:tr>
        <w:tc>
          <w:tcPr>
            <w:tcW w:type="dxa" w:w="2620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mbria" w:hAnsi="Cambria" w:eastAsia="Cambria"/>
                <w:b w:val="0"/>
                <w:i w:val="0"/>
                <w:color w:val="666666"/>
                <w:sz w:val="17"/>
              </w:rPr>
              <w:br/>
              <w:br/>
              <w:br/>
              <w:t>Họ tên: ................................</w:t>
              <w:br/>
              <w:t>Ngày: ....../....../........</w:t>
            </w:r>
          </w:p>
        </w:tc>
        <w:tc>
          <w:tcPr>
            <w:tcW w:type="dxa" w:w="2620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mbria" w:hAnsi="Cambria" w:eastAsia="Cambria"/>
                <w:b w:val="0"/>
                <w:i w:val="0"/>
                <w:color w:val="666666"/>
                <w:sz w:val="17"/>
              </w:rPr>
              <w:br/>
              <w:br/>
              <w:br/>
              <w:t>Họ tên: ................................</w:t>
              <w:br/>
              <w:t>Ngày: ....../....../........</w:t>
            </w:r>
          </w:p>
        </w:tc>
        <w:tc>
          <w:tcPr>
            <w:tcW w:type="dxa" w:w="2620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mbria" w:hAnsi="Cambria" w:eastAsia="Cambria"/>
                <w:b w:val="0"/>
                <w:i w:val="0"/>
                <w:color w:val="666666"/>
                <w:sz w:val="17"/>
              </w:rPr>
              <w:br/>
              <w:br/>
              <w:br/>
              <w:t>Họ tên: ................................</w:t>
              <w:br/>
              <w:t>Ngày: ....../....../........</w:t>
            </w:r>
          </w:p>
        </w:tc>
        <w:tc>
          <w:tcPr>
            <w:tcW w:type="dxa" w:w="2620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mbria" w:hAnsi="Cambria" w:eastAsia="Cambria"/>
                <w:b w:val="0"/>
                <w:i w:val="0"/>
                <w:color w:val="666666"/>
                <w:sz w:val="17"/>
              </w:rPr>
              <w:br/>
              <w:br/>
              <w:br/>
              <w:t>Họ tên: ................................</w:t>
              <w:br/>
              <w:t>Ngày: ....../....../........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7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Cambria" w:hAnsi="Cambria" w:eastAsia="Cambria"/>
        <w:b/>
        <w:i w:val="0"/>
        <w:color w:val="1F4E79"/>
        <w:sz w:val="20"/>
      </w:rPr>
      <w:t>TÀI LIỆU CỦA HỌC VIỆN MASTERSKILLS</w:t>
      <w:br/>
    </w:r>
    <w:r>
      <w:rPr>
        <w:rFonts w:ascii="Cambria" w:hAnsi="Cambria" w:eastAsia="Cambria"/>
        <w:b w:val="0"/>
        <w:i w:val="0"/>
        <w:color w:val="1F4E79"/>
        <w:sz w:val="20"/>
      </w:rPr>
      <w:t>Website: www.Masterskills.org | Email: info@Masterskills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center"/>
    </w:pPr>
    <w:r>
      <w:rPr>
        <w:rFonts w:ascii="Cambria" w:hAnsi="Cambria" w:eastAsia="Cambria"/>
        <w:b/>
        <w:i w:val="0"/>
        <w:color w:val="1F4E79"/>
        <w:sz w:val="20"/>
      </w:rPr>
      <w:t>MASTERSKILLS</w:t>
      <w:br/>
    </w:r>
    <w:r>
      <w:rPr>
        <w:rFonts w:ascii="Cambria" w:hAnsi="Cambria" w:eastAsia="Cambria"/>
        <w:b w:val="0"/>
        <w:i w:val="0"/>
        <w:color w:val="1F4E79"/>
        <w:sz w:val="20"/>
      </w:rPr>
      <w:t>PHIẾU PHÊ DUYỆT ĐÀO TẠO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mbria" w:hAnsi="Cambria" w:eastAsia="Cambr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mbria" w:hAnsi="Cambria" w:eastAsia="Cambria"/>
      <w:b/>
      <w:bCs/>
      <w:color w:val="C55A1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mbria" w:hAnsi="Cambria" w:eastAsia="Cambria"/>
      <w:b/>
      <w:bCs/>
      <w:color w:val="C55A1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mbria" w:hAnsi="Cambria" w:eastAsia="Cambria"/>
      <w:b/>
      <w:bCs/>
      <w:color w:val="C55A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mbria" w:hAnsi="Cambria" w:eastAsia="Cambria"/>
      <w:b/>
      <w:color w:val="C55A11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LinksUpToDate>false</LinksUpToDate>
  <CharactersWithSpaces>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dcterms:created xsi:type="dcterms:W3CDTF">2013-12-23T23:15:00Z</dcterms:created>
  <dcterms:modified xsi:type="dcterms:W3CDTF">2013-12-23T23:15:00Z</dcterms:modified>
  <cp:category/>
</cp:coreProperties>
</file>